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4841" w14:textId="1925739F" w:rsidR="00584844" w:rsidRDefault="00584844" w:rsidP="00584844">
      <w:pPr>
        <w:spacing w:line="240" w:lineRule="auto"/>
        <w:rPr>
          <w:b/>
          <w:bCs/>
        </w:rPr>
      </w:pPr>
      <w:r>
        <w:rPr>
          <w:b/>
          <w:bCs/>
        </w:rPr>
        <w:t>Figures and Tables</w:t>
      </w:r>
    </w:p>
    <w:p w14:paraId="069B9054" w14:textId="77777777" w:rsidR="00584844" w:rsidRDefault="00584844" w:rsidP="00584844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01734984" wp14:editId="3ED80E4A">
            <wp:extent cx="5523174" cy="3825272"/>
            <wp:effectExtent l="0" t="0" r="1905" b="3810"/>
            <wp:docPr id="163801413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6E89738-7DF8-FB9F-97C3-FC303713BC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16E89738-7DF8-FB9F-97C3-FC303713BC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7041" cy="384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882A" w14:textId="77777777" w:rsidR="00584844" w:rsidRDefault="00584844" w:rsidP="00584844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</w:p>
    <w:p w14:paraId="2B006CB8" w14:textId="77777777" w:rsidR="00584844" w:rsidRPr="007E0A7D" w:rsidRDefault="00584844" w:rsidP="00584844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  <w:r w:rsidRPr="007E0A7D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1.</w:t>
      </w:r>
      <w:r w:rsidRPr="007E0A7D">
        <w:rPr>
          <w:i/>
          <w:iCs/>
          <w:sz w:val="20"/>
          <w:szCs w:val="20"/>
        </w:rPr>
        <w:t xml:space="preserve">1: </w:t>
      </w:r>
      <w:r>
        <w:rPr>
          <w:i/>
          <w:iCs/>
          <w:sz w:val="20"/>
          <w:szCs w:val="20"/>
        </w:rPr>
        <w:t>Even year p</w:t>
      </w:r>
      <w:r w:rsidRPr="007E0A7D">
        <w:rPr>
          <w:i/>
          <w:iCs/>
          <w:sz w:val="20"/>
          <w:szCs w:val="20"/>
        </w:rPr>
        <w:t xml:space="preserve">eak pink salmon escapement </w:t>
      </w:r>
      <w:r>
        <w:rPr>
          <w:i/>
          <w:iCs/>
          <w:sz w:val="20"/>
          <w:szCs w:val="20"/>
        </w:rPr>
        <w:t>from 1960 to 2022</w:t>
      </w:r>
      <w:r w:rsidRPr="007E0A7D">
        <w:rPr>
          <w:i/>
          <w:iCs/>
          <w:sz w:val="20"/>
          <w:szCs w:val="20"/>
        </w:rPr>
        <w:t xml:space="preserve"> in 35 </w:t>
      </w:r>
      <w:r>
        <w:rPr>
          <w:i/>
          <w:iCs/>
          <w:sz w:val="20"/>
          <w:szCs w:val="20"/>
        </w:rPr>
        <w:t xml:space="preserve">index </w:t>
      </w:r>
      <w:r w:rsidRPr="007E0A7D">
        <w:rPr>
          <w:i/>
          <w:iCs/>
          <w:sz w:val="20"/>
          <w:szCs w:val="20"/>
        </w:rPr>
        <w:t xml:space="preserve">streams across ADFG’s designated Northern Southeast (Outside) region. Spawner counts are </w:t>
      </w:r>
      <w:r>
        <w:rPr>
          <w:i/>
          <w:iCs/>
          <w:sz w:val="20"/>
          <w:szCs w:val="20"/>
        </w:rPr>
        <w:t xml:space="preserve">scaled </w:t>
      </w:r>
      <w:r w:rsidRPr="007E0A7D">
        <w:rPr>
          <w:i/>
          <w:iCs/>
          <w:sz w:val="20"/>
          <w:szCs w:val="20"/>
        </w:rPr>
        <w:t>against stream length</w:t>
      </w:r>
      <w:r>
        <w:rPr>
          <w:i/>
          <w:iCs/>
          <w:sz w:val="20"/>
          <w:szCs w:val="20"/>
        </w:rPr>
        <w:t xml:space="preserve"> (km), then log transformed and standardized at the level of each stream</w:t>
      </w:r>
      <w:r w:rsidRPr="007E0A7D">
        <w:rPr>
          <w:i/>
          <w:iCs/>
          <w:sz w:val="20"/>
          <w:szCs w:val="20"/>
        </w:rPr>
        <w:t>.</w:t>
      </w:r>
    </w:p>
    <w:p w14:paraId="4A57A5A6" w14:textId="77777777" w:rsidR="00584844" w:rsidRDefault="00584844" w:rsidP="00584844">
      <w:pPr>
        <w:spacing w:line="240" w:lineRule="auto"/>
        <w:rPr>
          <w:b/>
          <w:bCs/>
        </w:rPr>
      </w:pPr>
    </w:p>
    <w:p w14:paraId="1F7AA87C" w14:textId="77777777" w:rsidR="00584844" w:rsidRDefault="00584844" w:rsidP="00584844">
      <w:pPr>
        <w:spacing w:line="240" w:lineRule="auto"/>
        <w:rPr>
          <w:b/>
          <w:bCs/>
        </w:rPr>
      </w:pPr>
    </w:p>
    <w:p w14:paraId="3F9E70AB" w14:textId="77777777" w:rsidR="00584844" w:rsidRDefault="00584844" w:rsidP="00584844">
      <w:pPr>
        <w:pStyle w:val="ListParagraph"/>
        <w:spacing w:after="0" w:line="240" w:lineRule="auto"/>
        <w:ind w:left="360"/>
        <w:rPr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1A915B6" wp14:editId="4EB2AA7A">
            <wp:extent cx="5915025" cy="4450172"/>
            <wp:effectExtent l="0" t="0" r="0" b="7620"/>
            <wp:docPr id="1170925063" name="Picture 1170925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956" cy="445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1EDF" w14:textId="77777777" w:rsidR="00584844" w:rsidRDefault="00584844" w:rsidP="00584844">
      <w:pPr>
        <w:spacing w:after="0" w:line="240" w:lineRule="auto"/>
        <w:rPr>
          <w:i/>
          <w:iCs/>
          <w:sz w:val="20"/>
          <w:szCs w:val="20"/>
        </w:rPr>
      </w:pPr>
    </w:p>
    <w:p w14:paraId="288E272E" w14:textId="77777777" w:rsidR="00584844" w:rsidRPr="00D368CD" w:rsidRDefault="00584844" w:rsidP="00584844">
      <w:pPr>
        <w:spacing w:after="0" w:line="240" w:lineRule="auto"/>
        <w:ind w:left="360"/>
        <w:rPr>
          <w:i/>
          <w:iCs/>
          <w:sz w:val="20"/>
          <w:szCs w:val="20"/>
        </w:rPr>
      </w:pPr>
      <w:r w:rsidRPr="00D368CD">
        <w:rPr>
          <w:i/>
          <w:iCs/>
          <w:sz w:val="20"/>
          <w:szCs w:val="20"/>
        </w:rPr>
        <w:t>Figure 2: Location of Sheldon Jackson Hatchery (red star) and the mouth of the Indian River (red circle) in Sitka. The two highlighted points are approximately 1,650 ft (503m) apart.</w:t>
      </w:r>
    </w:p>
    <w:p w14:paraId="7081E534" w14:textId="77777777" w:rsidR="00584844" w:rsidRDefault="00584844" w:rsidP="00584844">
      <w:pPr>
        <w:spacing w:line="240" w:lineRule="auto"/>
        <w:rPr>
          <w:b/>
          <w:bCs/>
        </w:rPr>
      </w:pPr>
    </w:p>
    <w:p w14:paraId="4242DF65" w14:textId="7E625C54" w:rsidR="00584844" w:rsidRDefault="003821EC" w:rsidP="00584844">
      <w:pPr>
        <w:spacing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E7CEB6B" wp14:editId="12E0CDA4">
            <wp:extent cx="5943600" cy="3962400"/>
            <wp:effectExtent l="0" t="0" r="0" b="0"/>
            <wp:docPr id="24119097" name="Picture 1" descr="The graph shows a decline in even-year pink salmon peak returns in 36 Southeast Alaska streams from 1960 to 2020, with the Indian River being a specific foc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9097" name="Picture 1" descr="The graph shows a decline in even-year pink salmon peak returns in 36 Southeast Alaska streams from 1960 to 2020, with the Indian River being a specific focu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07ED" w14:textId="29D3146F" w:rsidR="00584844" w:rsidRDefault="00584844" w:rsidP="00584844">
      <w:pPr>
        <w:spacing w:after="0" w:line="240" w:lineRule="auto"/>
        <w:ind w:left="360"/>
      </w:pPr>
      <w:r w:rsidRPr="00D368CD">
        <w:rPr>
          <w:i/>
          <w:iCs/>
          <w:sz w:val="20"/>
          <w:szCs w:val="20"/>
        </w:rPr>
        <w:t xml:space="preserve">Figure 3: MARSS model results estimating the underlying states of even-year pink salmon abundance at Indian River (highlighted in pink) and throughout </w:t>
      </w:r>
      <w:r w:rsidR="003821EC">
        <w:rPr>
          <w:i/>
          <w:iCs/>
          <w:sz w:val="20"/>
          <w:szCs w:val="20"/>
        </w:rPr>
        <w:t>‘</w:t>
      </w:r>
      <w:r w:rsidRPr="00D368CD">
        <w:rPr>
          <w:i/>
          <w:iCs/>
          <w:sz w:val="20"/>
          <w:szCs w:val="20"/>
        </w:rPr>
        <w:t>north southeast (outside)</w:t>
      </w:r>
      <w:r w:rsidR="003821EC">
        <w:rPr>
          <w:i/>
          <w:iCs/>
          <w:sz w:val="20"/>
          <w:szCs w:val="20"/>
        </w:rPr>
        <w:t>’</w:t>
      </w:r>
      <w:r w:rsidRPr="00D368CD">
        <w:rPr>
          <w:i/>
          <w:iCs/>
          <w:sz w:val="20"/>
          <w:szCs w:val="20"/>
        </w:rPr>
        <w:t xml:space="preserve"> region (grey). Abundance estimates are scaled by stream length and z-standardized at the stream level. </w:t>
      </w:r>
    </w:p>
    <w:p w14:paraId="6319C797" w14:textId="0177B78D" w:rsidR="00584844" w:rsidRDefault="00584844" w:rsidP="00584844">
      <w:pPr>
        <w:rPr>
          <w:b/>
          <w:bCs/>
        </w:rPr>
      </w:pPr>
    </w:p>
    <w:p w14:paraId="290614A7" w14:textId="310FE88E" w:rsidR="003821EC" w:rsidRDefault="003821EC" w:rsidP="0058484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86F054D" wp14:editId="3E59B77B">
            <wp:extent cx="5943600" cy="3962400"/>
            <wp:effectExtent l="0" t="0" r="0" b="0"/>
            <wp:docPr id="2040418082" name="Picture 2" descr="The image displays a chart with a downward trend in odd-year pink salmon peak returns in 36 southeast Alaska streams from 1980 to 2020, with the Indian River specifically highligh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18082" name="Picture 2" descr="The image displays a chart with a downward trend in odd-year pink salmon peak returns in 36 southeast Alaska streams from 1980 to 2020, with the Indian River specifically highlighte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2435" w14:textId="7A37BDD7" w:rsidR="003821EC" w:rsidRDefault="003821EC" w:rsidP="003821EC">
      <w:pPr>
        <w:spacing w:after="0" w:line="240" w:lineRule="auto"/>
        <w:ind w:left="360"/>
      </w:pPr>
      <w:r w:rsidRPr="00D368CD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4</w:t>
      </w:r>
      <w:r w:rsidRPr="00D368CD">
        <w:rPr>
          <w:i/>
          <w:iCs/>
          <w:sz w:val="20"/>
          <w:szCs w:val="20"/>
        </w:rPr>
        <w:t xml:space="preserve">: MARSS model results estimating the underlying states of </w:t>
      </w:r>
      <w:r>
        <w:rPr>
          <w:i/>
          <w:iCs/>
          <w:sz w:val="20"/>
          <w:szCs w:val="20"/>
        </w:rPr>
        <w:t>odd</w:t>
      </w:r>
      <w:r w:rsidRPr="00D368CD">
        <w:rPr>
          <w:i/>
          <w:iCs/>
          <w:sz w:val="20"/>
          <w:szCs w:val="20"/>
        </w:rPr>
        <w:t xml:space="preserve">-year pink salmon abundance at Indian River (highlighted in pink) and throughout </w:t>
      </w:r>
      <w:r>
        <w:rPr>
          <w:i/>
          <w:iCs/>
          <w:sz w:val="20"/>
          <w:szCs w:val="20"/>
        </w:rPr>
        <w:t>‘</w:t>
      </w:r>
      <w:r w:rsidRPr="00D368CD">
        <w:rPr>
          <w:i/>
          <w:iCs/>
          <w:sz w:val="20"/>
          <w:szCs w:val="20"/>
        </w:rPr>
        <w:t>north southeast (outside)</w:t>
      </w:r>
      <w:r>
        <w:rPr>
          <w:i/>
          <w:iCs/>
          <w:sz w:val="20"/>
          <w:szCs w:val="20"/>
        </w:rPr>
        <w:t>’</w:t>
      </w:r>
      <w:r w:rsidRPr="00D368CD">
        <w:rPr>
          <w:i/>
          <w:iCs/>
          <w:sz w:val="20"/>
          <w:szCs w:val="20"/>
        </w:rPr>
        <w:t xml:space="preserve"> region (grey). Abundance estimates are scaled by stream length and z-standardized at the stream level. </w:t>
      </w:r>
    </w:p>
    <w:p w14:paraId="38229530" w14:textId="64ADC1DA" w:rsidR="001159C6" w:rsidRDefault="001159C6" w:rsidP="00584844">
      <w:pPr>
        <w:rPr>
          <w:b/>
          <w:bCs/>
        </w:rPr>
      </w:pPr>
      <w:r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0B9698C2" wp14:editId="0493FFF7">
            <wp:extent cx="5943600" cy="3990975"/>
            <wp:effectExtent l="0" t="0" r="0" b="9525"/>
            <wp:docPr id="16012215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33C6" w14:textId="372F4406" w:rsidR="001159C6" w:rsidRDefault="001159C6" w:rsidP="001159C6">
      <w:pPr>
        <w:spacing w:after="0" w:line="240" w:lineRule="auto"/>
        <w:ind w:left="360"/>
        <w:rPr>
          <w:sz w:val="20"/>
          <w:szCs w:val="20"/>
        </w:rPr>
      </w:pPr>
      <w:r w:rsidRPr="00D368CD">
        <w:rPr>
          <w:i/>
          <w:iCs/>
          <w:sz w:val="20"/>
          <w:szCs w:val="20"/>
        </w:rPr>
        <w:t xml:space="preserve">Figure </w:t>
      </w:r>
      <w:r>
        <w:rPr>
          <w:i/>
          <w:iCs/>
          <w:sz w:val="20"/>
          <w:szCs w:val="20"/>
        </w:rPr>
        <w:t>5</w:t>
      </w:r>
      <w:r w:rsidRPr="00D368CD">
        <w:rPr>
          <w:i/>
          <w:iCs/>
          <w:sz w:val="20"/>
          <w:szCs w:val="20"/>
        </w:rPr>
        <w:t xml:space="preserve">: </w:t>
      </w:r>
      <w:r>
        <w:rPr>
          <w:i/>
          <w:iCs/>
          <w:sz w:val="20"/>
          <w:szCs w:val="20"/>
        </w:rPr>
        <w:t>Estimated effect of brood year-to-brood year interactions between Indian River pink salmon runs and Sheldon Jackson Hatchery pink salmon releases.</w:t>
      </w:r>
    </w:p>
    <w:p w14:paraId="2B515DB1" w14:textId="77777777" w:rsidR="001159C6" w:rsidRDefault="001159C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CF2518C" w14:textId="00F7B95A" w:rsidR="001159C6" w:rsidRDefault="001159C6" w:rsidP="001159C6">
      <w:pPr>
        <w:spacing w:after="0" w:line="240" w:lineRule="auto"/>
        <w:ind w:left="360"/>
      </w:pPr>
      <w:r>
        <w:rPr>
          <w:noProof/>
        </w:rPr>
        <w:lastRenderedPageBreak/>
        <w:drawing>
          <wp:inline distT="0" distB="0" distL="0" distR="0" wp14:anchorId="4328B6B9" wp14:editId="32E48A22">
            <wp:extent cx="5934075" cy="5353050"/>
            <wp:effectExtent l="0" t="0" r="9525" b="0"/>
            <wp:docPr id="16315911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8120" w14:textId="77777777" w:rsidR="001159C6" w:rsidRDefault="001159C6" w:rsidP="001159C6">
      <w:pPr>
        <w:spacing w:after="0" w:line="240" w:lineRule="auto"/>
        <w:ind w:left="360"/>
        <w:rPr>
          <w:i/>
          <w:iCs/>
          <w:sz w:val="20"/>
          <w:szCs w:val="20"/>
        </w:rPr>
      </w:pPr>
    </w:p>
    <w:p w14:paraId="05D18362" w14:textId="6C536993" w:rsidR="001159C6" w:rsidRPr="001159C6" w:rsidRDefault="001159C6" w:rsidP="001159C6">
      <w:pPr>
        <w:spacing w:after="0" w:line="240" w:lineRule="auto"/>
        <w:ind w:left="360"/>
        <w:rPr>
          <w:i/>
          <w:iCs/>
          <w:sz w:val="20"/>
          <w:szCs w:val="20"/>
        </w:rPr>
      </w:pPr>
      <w:r w:rsidRPr="001159C6">
        <w:rPr>
          <w:i/>
          <w:iCs/>
          <w:sz w:val="20"/>
          <w:szCs w:val="20"/>
        </w:rPr>
        <w:t>Table 1</w:t>
      </w:r>
      <w:r>
        <w:rPr>
          <w:i/>
          <w:iCs/>
          <w:sz w:val="20"/>
          <w:szCs w:val="20"/>
        </w:rPr>
        <w:t>: Difference-in-difference results estimating the impact of Sheldon Jackson Hatchery operations on Indian River pink salmon abundances.</w:t>
      </w:r>
      <w:r w:rsidR="00814143">
        <w:rPr>
          <w:i/>
          <w:iCs/>
          <w:sz w:val="20"/>
          <w:szCs w:val="20"/>
        </w:rPr>
        <w:t xml:space="preserve"> Standard errors in parentheses. </w:t>
      </w:r>
      <w:r>
        <w:rPr>
          <w:i/>
          <w:iCs/>
          <w:sz w:val="20"/>
          <w:szCs w:val="20"/>
        </w:rPr>
        <w:t xml:space="preserve"> </w:t>
      </w:r>
    </w:p>
    <w:p w14:paraId="6F0AEA68" w14:textId="51FED447" w:rsidR="00584844" w:rsidRDefault="00584844" w:rsidP="00584844">
      <w:pPr>
        <w:rPr>
          <w:b/>
          <w:bCs/>
        </w:rPr>
      </w:pPr>
      <w:r>
        <w:rPr>
          <w:b/>
          <w:bCs/>
        </w:rPr>
        <w:br w:type="page"/>
      </w:r>
    </w:p>
    <w:p w14:paraId="10CF8FF8" w14:textId="77777777" w:rsidR="00584844" w:rsidRPr="00B81603" w:rsidRDefault="00584844" w:rsidP="00584844">
      <w:pPr>
        <w:spacing w:line="240" w:lineRule="auto"/>
        <w:rPr>
          <w:b/>
          <w:bCs/>
        </w:rPr>
      </w:pPr>
      <w:r w:rsidRPr="00B81603">
        <w:rPr>
          <w:b/>
          <w:bCs/>
        </w:rPr>
        <w:lastRenderedPageBreak/>
        <w:t>References</w:t>
      </w:r>
    </w:p>
    <w:p w14:paraId="05D2DE0F" w14:textId="77777777" w:rsidR="00584844" w:rsidRDefault="00584844" w:rsidP="00584844">
      <w:pPr>
        <w:spacing w:line="240" w:lineRule="auto"/>
        <w:ind w:left="720" w:hanging="720"/>
      </w:pPr>
      <w:r>
        <w:t xml:space="preserve">Alaska Department of Fish and Game. 2024a. Commercial Salmon Fisheries – Southeast Alaska &amp; Yakutat Research: Pink Salmon. Available at: </w:t>
      </w:r>
      <w:hyperlink r:id="rId10" w:history="1">
        <w:r w:rsidRPr="007B1A5E">
          <w:rPr>
            <w:rStyle w:val="Hyperlink"/>
          </w:rPr>
          <w:t>https://www.adfg.alaska.gov/index.cfm?adfg=commercialbyareasoutheast.salmon_research_pink</w:t>
        </w:r>
      </w:hyperlink>
      <w:r>
        <w:t xml:space="preserve"> (accessed December 14, 2024)</w:t>
      </w:r>
    </w:p>
    <w:p w14:paraId="059DAB70" w14:textId="77777777" w:rsidR="00584844" w:rsidRDefault="00584844" w:rsidP="00584844">
      <w:pPr>
        <w:spacing w:line="240" w:lineRule="auto"/>
        <w:ind w:left="720" w:hanging="720"/>
      </w:pPr>
      <w:r>
        <w:t xml:space="preserve">Alaska Department of Fish and Game. 2024b. Mark Recovery Laboratory – Otolith Marking. Available at: </w:t>
      </w:r>
      <w:hyperlink r:id="rId11" w:history="1">
        <w:r w:rsidRPr="007B1A5E">
          <w:rPr>
            <w:rStyle w:val="Hyperlink"/>
          </w:rPr>
          <w:t>https://mtalab.adfg.alaska.gov/OTO/marking.aspx</w:t>
        </w:r>
      </w:hyperlink>
      <w:r>
        <w:t xml:space="preserve"> (accessed December 14, 2024)</w:t>
      </w:r>
    </w:p>
    <w:p w14:paraId="0CC68DD4" w14:textId="77777777" w:rsidR="00584844" w:rsidRPr="00E66FA7" w:rsidRDefault="00584844" w:rsidP="00584844">
      <w:pPr>
        <w:spacing w:line="240" w:lineRule="auto"/>
        <w:ind w:left="720" w:hanging="720"/>
      </w:pPr>
      <w:r>
        <w:t xml:space="preserve">Beckett, K., E. Elle, C. Kremen, A. Sherwood, S. McComb, T. G. Martin. 2022. Hyperabundant black-tailed deer impact endangered Garry oak ecosystem floral and bumblebee communities. </w:t>
      </w:r>
      <w:r>
        <w:rPr>
          <w:i/>
          <w:iCs/>
        </w:rPr>
        <w:t>Global Ecology and Conservation</w:t>
      </w:r>
      <w:r>
        <w:t xml:space="preserve"> 38: 14pp.</w:t>
      </w:r>
    </w:p>
    <w:p w14:paraId="383BC2F3" w14:textId="77777777" w:rsidR="00584844" w:rsidRPr="008776F4" w:rsidRDefault="00584844" w:rsidP="00584844">
      <w:pPr>
        <w:spacing w:line="240" w:lineRule="auto"/>
        <w:ind w:left="720" w:hanging="720"/>
      </w:pPr>
      <w:r>
        <w:t xml:space="preserve">Cunningham, S. 2021. </w:t>
      </w:r>
      <w:r>
        <w:rPr>
          <w:i/>
          <w:iCs/>
        </w:rPr>
        <w:t>Causal Inference: The Mixtape.</w:t>
      </w:r>
      <w:r>
        <w:t xml:space="preserve"> Yale University Press, 352 pp.</w:t>
      </w:r>
    </w:p>
    <w:p w14:paraId="67B2C24F" w14:textId="77777777" w:rsidR="00584844" w:rsidRDefault="00584844" w:rsidP="00584844">
      <w:pPr>
        <w:spacing w:line="240" w:lineRule="auto"/>
        <w:ind w:left="720" w:hanging="720"/>
      </w:pPr>
      <w:r>
        <w:t xml:space="preserve">Gende, S. and B. Carter. 2015. </w:t>
      </w:r>
      <w:r w:rsidRPr="00942C32">
        <w:rPr>
          <w:i/>
          <w:iCs/>
        </w:rPr>
        <w:t>Straying rates of pink salmon into the Indian River, Sitka National Historical Park. Final Report – ADF&amp;G Permit # SF2015-225.</w:t>
      </w:r>
      <w:r>
        <w:t xml:space="preserve"> National Park Service, 11 pp.</w:t>
      </w:r>
    </w:p>
    <w:p w14:paraId="4FD54F54" w14:textId="77777777" w:rsidR="00584844" w:rsidRDefault="00584844" w:rsidP="00584844">
      <w:pPr>
        <w:spacing w:line="240" w:lineRule="auto"/>
        <w:ind w:left="720" w:hanging="720"/>
      </w:pPr>
      <w:r>
        <w:t xml:space="preserve">Holmes, E. E., E. J. Ward, and K. Wills. 2012. MARSS: Multivariate Autoregressive State-space Models for Analyzing Time-series Data. </w:t>
      </w:r>
      <w:r>
        <w:rPr>
          <w:i/>
          <w:iCs/>
        </w:rPr>
        <w:t>The R Journal</w:t>
      </w:r>
      <w:r>
        <w:t xml:space="preserve"> 4(1): 11-19.</w:t>
      </w:r>
    </w:p>
    <w:p w14:paraId="4551224E" w14:textId="77777777" w:rsidR="00584844" w:rsidRDefault="00584844" w:rsidP="00584844">
      <w:pPr>
        <w:spacing w:line="240" w:lineRule="auto"/>
        <w:ind w:left="720" w:hanging="720"/>
      </w:pPr>
      <w:r>
        <w:t xml:space="preserve">Knudsen, E. E., P. S. Rand, K. B. Gorman, D. R. Bernard, W. D. Templin. 2021. Hatchery-origin stray rates and total run characteristics for Pink Salmon and Chum Salmon returning to Prince William Sound, Alaska in 2013-2015. </w:t>
      </w:r>
      <w:r>
        <w:rPr>
          <w:i/>
          <w:iCs/>
        </w:rPr>
        <w:t xml:space="preserve">Marine and Coastal Fisheries </w:t>
      </w:r>
      <w:r>
        <w:t>13(1): 41-68.</w:t>
      </w:r>
    </w:p>
    <w:p w14:paraId="549DED8A" w14:textId="77777777" w:rsidR="00584844" w:rsidRPr="00E66FA7" w:rsidRDefault="00584844" w:rsidP="00584844">
      <w:pPr>
        <w:spacing w:line="240" w:lineRule="auto"/>
        <w:ind w:left="720" w:hanging="720"/>
      </w:pPr>
      <w:r>
        <w:t xml:space="preserve">Moore, J. H., L. Gibson, Z. Amir, W. </w:t>
      </w:r>
      <w:proofErr w:type="spellStart"/>
      <w:r>
        <w:t>Chanthorn</w:t>
      </w:r>
      <w:proofErr w:type="spellEnd"/>
      <w:r>
        <w:t xml:space="preserve">, A. H. Ahmad, P. A. Jansen, C. P. Mendes, M. Onuma, C. A. Peres, M. S. Luskin. 2023. The rise of hyperabundant native generalists threatens both humans and nature. </w:t>
      </w:r>
      <w:r>
        <w:rPr>
          <w:i/>
          <w:iCs/>
        </w:rPr>
        <w:t>Biological Reviews</w:t>
      </w:r>
      <w:r>
        <w:t xml:space="preserve"> 98(5): 1829-1844.</w:t>
      </w:r>
    </w:p>
    <w:p w14:paraId="49AEB3DA" w14:textId="77777777" w:rsidR="00584844" w:rsidRDefault="00584844" w:rsidP="00584844">
      <w:pPr>
        <w:spacing w:line="240" w:lineRule="auto"/>
        <w:ind w:left="720" w:hanging="720"/>
      </w:pPr>
      <w:r>
        <w:t xml:space="preserve">National Park Service. 2025a. Organic Act of 1916. Available at: </w:t>
      </w:r>
      <w:hyperlink r:id="rId12" w:history="1">
        <w:r w:rsidRPr="00096DB2">
          <w:rPr>
            <w:rStyle w:val="Hyperlink"/>
          </w:rPr>
          <w:t>https://www.nps.gov/grba/learn/management/organic-act-of-1916.htm</w:t>
        </w:r>
      </w:hyperlink>
      <w:r>
        <w:t xml:space="preserve"> (accessed March 27, 2025)</w:t>
      </w:r>
    </w:p>
    <w:p w14:paraId="4E36A18A" w14:textId="77777777" w:rsidR="00584844" w:rsidRPr="00096DB2" w:rsidRDefault="00584844" w:rsidP="00584844">
      <w:pPr>
        <w:spacing w:line="240" w:lineRule="auto"/>
        <w:ind w:left="720" w:hanging="720"/>
        <w:rPr>
          <w:i/>
          <w:iCs/>
        </w:rPr>
      </w:pPr>
      <w:r>
        <w:t xml:space="preserve">National Park Service. 2025b. Sitka National Historical Park. Available at: </w:t>
      </w:r>
      <w:hyperlink r:id="rId13" w:history="1">
        <w:r w:rsidRPr="00096DB2">
          <w:rPr>
            <w:rStyle w:val="Hyperlink"/>
          </w:rPr>
          <w:t>https://www.nps.gov/sitk/index.htm</w:t>
        </w:r>
      </w:hyperlink>
      <w:r>
        <w:t xml:space="preserve"> (accessed March 18, 2025)</w:t>
      </w:r>
      <w:r>
        <w:rPr>
          <w:i/>
          <w:iCs/>
        </w:rPr>
        <w:t xml:space="preserve"> </w:t>
      </w:r>
    </w:p>
    <w:p w14:paraId="20E001D4" w14:textId="77777777" w:rsidR="00584844" w:rsidRDefault="00584844" w:rsidP="00584844">
      <w:pPr>
        <w:spacing w:line="240" w:lineRule="auto"/>
        <w:ind w:left="720" w:hanging="720"/>
      </w:pPr>
      <w:r>
        <w:t xml:space="preserve">Quinn, T. P. 2018. </w:t>
      </w:r>
      <w:r>
        <w:rPr>
          <w:i/>
          <w:iCs/>
        </w:rPr>
        <w:t>The Behavior and Ecology of Pacific Salmon and Trout, Second Edition.</w:t>
      </w:r>
      <w:r>
        <w:t xml:space="preserve"> University of Washington Press, 547 pp.</w:t>
      </w:r>
    </w:p>
    <w:p w14:paraId="4CB2DB8F" w14:textId="77777777" w:rsidR="00584844" w:rsidRDefault="00584844" w:rsidP="00584844">
      <w:pPr>
        <w:spacing w:line="240" w:lineRule="auto"/>
        <w:ind w:left="720" w:hanging="720"/>
      </w:pPr>
      <w:proofErr w:type="spellStart"/>
      <w:r>
        <w:t>Sambaraju</w:t>
      </w:r>
      <w:proofErr w:type="spellEnd"/>
      <w:r>
        <w:t xml:space="preserve">, K. R., D. W. Goodman. 2021. Mountain pine beetle: an example of a climate-driven eruptive insect impacting conifer forest ecosystems. </w:t>
      </w:r>
      <w:r>
        <w:rPr>
          <w:i/>
          <w:iCs/>
        </w:rPr>
        <w:t>CABI Reviews</w:t>
      </w:r>
      <w:r>
        <w:t>: 18pp.</w:t>
      </w:r>
    </w:p>
    <w:p w14:paraId="049DE9F9" w14:textId="77777777" w:rsidR="00584844" w:rsidRPr="005810E6" w:rsidRDefault="00584844" w:rsidP="00584844">
      <w:pPr>
        <w:spacing w:line="240" w:lineRule="auto"/>
        <w:ind w:left="720" w:hanging="720"/>
      </w:pPr>
      <w:r>
        <w:t xml:space="preserve">Sergeant, C. J., J. R. Bellmore, C. McConnell, J. W. Moore. 2017. High salmon density and low discharge create periodic hypoxia in coastal rivers. </w:t>
      </w:r>
      <w:r>
        <w:rPr>
          <w:i/>
          <w:iCs/>
        </w:rPr>
        <w:t>Ecosphere</w:t>
      </w:r>
      <w:r>
        <w:t xml:space="preserve"> 8(6</w:t>
      </w:r>
      <w:r w:rsidRPr="00C5517B">
        <w:rPr>
          <w:rFonts w:cstheme="minorHAnsi"/>
        </w:rPr>
        <w:t>)</w:t>
      </w:r>
      <w:r w:rsidRPr="00A9712C">
        <w:rPr>
          <w:rFonts w:cstheme="minorHAnsi"/>
          <w:kern w:val="0"/>
        </w:rPr>
        <w:t>:</w:t>
      </w:r>
      <w:r>
        <w:rPr>
          <w:rFonts w:cstheme="minorHAnsi"/>
          <w:kern w:val="0"/>
        </w:rPr>
        <w:t xml:space="preserve"> 16pp</w:t>
      </w:r>
      <w:r w:rsidRPr="00C5517B">
        <w:rPr>
          <w:rFonts w:cstheme="minorHAnsi"/>
        </w:rPr>
        <w:t>.</w:t>
      </w:r>
    </w:p>
    <w:p w14:paraId="3925B3F3" w14:textId="77777777" w:rsidR="00584844" w:rsidRDefault="00584844" w:rsidP="00584844">
      <w:pPr>
        <w:spacing w:line="240" w:lineRule="auto"/>
        <w:ind w:left="720" w:hanging="720"/>
      </w:pPr>
      <w:r>
        <w:t xml:space="preserve">Sergeant, C. J., J. R. Bellmore, R. A. Bellmore, J. A. Falke, F. J. </w:t>
      </w:r>
      <w:proofErr w:type="spellStart"/>
      <w:r>
        <w:t>Mueter</w:t>
      </w:r>
      <w:proofErr w:type="spellEnd"/>
      <w:r>
        <w:t xml:space="preserve">, and P. A. H. Westley. 2023. Hypoxia vulnerability in the salmon watersheds of Southeast Alaska. </w:t>
      </w:r>
      <w:r>
        <w:rPr>
          <w:i/>
          <w:iCs/>
        </w:rPr>
        <w:t xml:space="preserve">Science of the Total Environment </w:t>
      </w:r>
      <w:r>
        <w:t>896:</w:t>
      </w:r>
      <w:r w:rsidRPr="00C5517B">
        <w:t xml:space="preserve"> </w:t>
      </w:r>
      <w:r>
        <w:t>12pp.</w:t>
      </w:r>
    </w:p>
    <w:p w14:paraId="7675377B" w14:textId="77777777" w:rsidR="00584844" w:rsidRPr="008776F4" w:rsidRDefault="00584844" w:rsidP="00584844">
      <w:pPr>
        <w:spacing w:line="240" w:lineRule="auto"/>
        <w:ind w:left="720" w:hanging="720"/>
        <w:rPr>
          <w:i/>
          <w:iCs/>
        </w:rPr>
      </w:pPr>
      <w:proofErr w:type="spellStart"/>
      <w:r>
        <w:lastRenderedPageBreak/>
        <w:t>Stopha</w:t>
      </w:r>
      <w:proofErr w:type="spellEnd"/>
      <w:r>
        <w:t xml:space="preserve">, M. 2015. </w:t>
      </w:r>
      <w:r w:rsidRPr="00CA1D5B">
        <w:rPr>
          <w:i/>
          <w:iCs/>
        </w:rPr>
        <w:t xml:space="preserve">An Evaluation of the Sheldon Jackson Salmon Hatchery for Consistency with Statewide Policies and Prescribed Management Practices. </w:t>
      </w:r>
      <w:r w:rsidRPr="00CA1D5B">
        <w:t>Alaska Department of Fish and Game, Division of Commercial Fisheries,</w:t>
      </w:r>
      <w:r>
        <w:t xml:space="preserve"> 42 pp.</w:t>
      </w:r>
    </w:p>
    <w:p w14:paraId="09DE7175" w14:textId="77777777" w:rsidR="00584844" w:rsidRDefault="00584844" w:rsidP="00584844">
      <w:pPr>
        <w:spacing w:line="240" w:lineRule="auto"/>
        <w:ind w:left="720" w:hanging="720"/>
      </w:pPr>
      <w:r>
        <w:t xml:space="preserve">Thornton, T. F. 1998. </w:t>
      </w:r>
      <w:r>
        <w:rPr>
          <w:i/>
          <w:iCs/>
        </w:rPr>
        <w:t>Traditional Tlingit Use of Sitka National Historical Park</w:t>
      </w:r>
      <w:r>
        <w:t>. National Park Service, 170 pp.</w:t>
      </w:r>
    </w:p>
    <w:p w14:paraId="35B34E13" w14:textId="77777777" w:rsidR="00584844" w:rsidRDefault="00584844" w:rsidP="00584844">
      <w:pPr>
        <w:spacing w:line="240" w:lineRule="auto"/>
        <w:ind w:left="720" w:hanging="720"/>
      </w:pPr>
      <w:r>
        <w:t>Tillotson, M. D., T. P. Quinn. 2017. Climate and conspecific density trigger pre-spawning mortality in sockeye salmon (</w:t>
      </w:r>
      <w:r w:rsidRPr="003748D3">
        <w:rPr>
          <w:i/>
        </w:rPr>
        <w:t>Oncorhynchus nerka</w:t>
      </w:r>
      <w:r>
        <w:t xml:space="preserve">). </w:t>
      </w:r>
      <w:r>
        <w:rPr>
          <w:i/>
          <w:iCs/>
        </w:rPr>
        <w:t xml:space="preserve">Fisheries Research </w:t>
      </w:r>
      <w:r>
        <w:t>188: 138-148.</w:t>
      </w:r>
    </w:p>
    <w:p w14:paraId="3AC70E10" w14:textId="77777777" w:rsidR="00584844" w:rsidRDefault="00584844" w:rsidP="00584844">
      <w:pPr>
        <w:spacing w:line="240" w:lineRule="auto"/>
        <w:ind w:left="720" w:hanging="720"/>
      </w:pPr>
      <w:r>
        <w:t xml:space="preserve">Van Alen, B. W. 2000. Status and Stewardship of Salmon Stocks in Southeast Alaska. In E. E. Knudsen, Steward, C. R., MacDonald, D. D., Williams, J. E., Reiser, D. W. </w:t>
      </w:r>
      <w:r w:rsidRPr="00613DCC">
        <w:t xml:space="preserve">Sustainable Fisheries </w:t>
      </w:r>
      <w:proofErr w:type="spellStart"/>
      <w:r w:rsidRPr="00613DCC">
        <w:t>Managemnt</w:t>
      </w:r>
      <w:proofErr w:type="spellEnd"/>
      <w:r w:rsidRPr="00613DCC">
        <w:t xml:space="preserve"> – Pacific Salmon,</w:t>
      </w:r>
      <w:r>
        <w:t xml:space="preserve"> 161-193. Lewis Publishers.</w:t>
      </w:r>
    </w:p>
    <w:p w14:paraId="7AD4182E" w14:textId="77777777" w:rsidR="00584844" w:rsidRDefault="00584844"/>
    <w:sectPr w:rsidR="00584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44"/>
    <w:rsid w:val="001159C6"/>
    <w:rsid w:val="003821EC"/>
    <w:rsid w:val="00584844"/>
    <w:rsid w:val="005F00F2"/>
    <w:rsid w:val="00633AFA"/>
    <w:rsid w:val="00814143"/>
    <w:rsid w:val="009D4DE7"/>
    <w:rsid w:val="00E00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8F5CE"/>
  <w15:chartTrackingRefBased/>
  <w15:docId w15:val="{419423C5-1318-4533-810C-FCDFDC8C7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844"/>
  </w:style>
  <w:style w:type="paragraph" w:styleId="Heading1">
    <w:name w:val="heading 1"/>
    <w:basedOn w:val="Normal"/>
    <w:next w:val="Normal"/>
    <w:link w:val="Heading1Char"/>
    <w:uiPriority w:val="9"/>
    <w:qFormat/>
    <w:rsid w:val="00584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84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8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nps.gov/sitk/index.htm%2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www.nps.gov/grba/learn/management/organic-act-of-1916.htm%2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mtalab.adfg.alaska.gov/OTO/marking.aspx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www.adfg.alaska.gov/index.cfm?adfg=commercialbyareasoutheast.salmon_research_pink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729</Words>
  <Characters>4312</Characters>
  <Application>Microsoft Office Word</Application>
  <DocSecurity>0</DocSecurity>
  <Lines>81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McGreal</dc:creator>
  <cp:keywords/>
  <dc:description/>
  <cp:lastModifiedBy>Brian E McGreal</cp:lastModifiedBy>
  <cp:revision>4</cp:revision>
  <dcterms:created xsi:type="dcterms:W3CDTF">2026-02-19T20:34:00Z</dcterms:created>
  <dcterms:modified xsi:type="dcterms:W3CDTF">2026-02-23T17:47:00Z</dcterms:modified>
</cp:coreProperties>
</file>