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898D8" w14:textId="77777777" w:rsidR="009845B1" w:rsidRPr="00776C8C" w:rsidRDefault="009845B1" w:rsidP="009845B1">
      <w:pPr>
        <w:suppressLineNumbers/>
        <w:spacing w:after="0" w:line="240" w:lineRule="auto"/>
        <w:rPr>
          <w:u w:val="single"/>
        </w:rPr>
      </w:pPr>
      <w:bookmarkStart w:id="0" w:name="_Hlk201661193"/>
      <w:bookmarkStart w:id="1" w:name="_Hlk201667573"/>
      <w:bookmarkEnd w:id="0"/>
      <w:r w:rsidRPr="00776C8C">
        <w:rPr>
          <w:u w:val="single"/>
        </w:rPr>
        <w:t xml:space="preserve">Title </w:t>
      </w:r>
    </w:p>
    <w:p w14:paraId="2E4C9938" w14:textId="77777777" w:rsidR="009845B1" w:rsidRDefault="009845B1" w:rsidP="009845B1">
      <w:pPr>
        <w:suppressLineNumbers/>
        <w:spacing w:after="0" w:line="240" w:lineRule="auto"/>
      </w:pPr>
      <w:r>
        <w:t>Hyperabundance of a native species: Pink Salmon in Sitka National Historical Park</w:t>
      </w:r>
    </w:p>
    <w:p w14:paraId="4B9ED1D5" w14:textId="77777777" w:rsidR="009845B1" w:rsidRDefault="009845B1" w:rsidP="009845B1">
      <w:pPr>
        <w:suppressLineNumbers/>
        <w:spacing w:after="0" w:line="240" w:lineRule="auto"/>
      </w:pPr>
    </w:p>
    <w:p w14:paraId="26E4C613" w14:textId="77777777" w:rsidR="009845B1" w:rsidRDefault="009845B1" w:rsidP="009845B1">
      <w:pPr>
        <w:suppressLineNumbers/>
        <w:spacing w:after="0" w:line="240" w:lineRule="auto"/>
        <w:rPr>
          <w:u w:val="single"/>
        </w:rPr>
      </w:pPr>
      <w:commentRangeStart w:id="2"/>
      <w:r w:rsidRPr="00776C8C">
        <w:rPr>
          <w:u w:val="single"/>
        </w:rPr>
        <w:t>Abstract</w:t>
      </w:r>
    </w:p>
    <w:p w14:paraId="318F9DBF" w14:textId="77777777" w:rsidR="009845B1" w:rsidRPr="005D6201" w:rsidRDefault="009845B1" w:rsidP="009845B1">
      <w:pPr>
        <w:suppressLineNumbers/>
        <w:spacing w:after="0" w:line="240" w:lineRule="auto"/>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a difficult management challenge. Whether due to direct human influence on their environments, </w:t>
      </w:r>
      <w:r>
        <w:t xml:space="preserve">or from </w:t>
      </w:r>
      <w:r w:rsidRPr="00250E10">
        <w:t xml:space="preserve">indirect human influence </w:t>
      </w:r>
      <w:r>
        <w:t xml:space="preserve">due to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 xml:space="preserve">almon in Sitka National Historical Park’s Indian River. Though native to the river, numbers of </w:t>
      </w:r>
      <w:r>
        <w:t>pink salmon</w:t>
      </w:r>
      <w:r w:rsidRPr="00250E10">
        <w:t xml:space="preserve"> returning </w:t>
      </w:r>
      <w:r>
        <w:t xml:space="preserve">to spawn </w:t>
      </w:r>
      <w:r w:rsidRPr="00250E10">
        <w:t xml:space="preserve">in </w:t>
      </w:r>
      <w:r>
        <w:t>late summer</w:t>
      </w:r>
      <w:r w:rsidRPr="00250E10">
        <w:t xml:space="preserve"> have grown exponentially in recent decades, putting other fish species</w:t>
      </w:r>
      <w:r>
        <w:t xml:space="preserve"> that are</w:t>
      </w:r>
      <w:r w:rsidRPr="00250E10">
        <w:t xml:space="preserve"> </w:t>
      </w:r>
      <w:r>
        <w:t xml:space="preserve">reliant on the river </w:t>
      </w:r>
      <w:r w:rsidRPr="00250E10">
        <w:t xml:space="preserve">at risk. </w:t>
      </w:r>
      <w:r>
        <w:t>T</w:t>
      </w:r>
      <w:r w:rsidRPr="00250E10">
        <w:t xml:space="preserve">he </w:t>
      </w:r>
      <w:r>
        <w:t xml:space="preserve">U.S. </w:t>
      </w:r>
      <w:r w:rsidRPr="00250E10">
        <w:t xml:space="preserve">National Park Service mandates the maintenance of </w:t>
      </w:r>
      <w:r>
        <w:t xml:space="preserve">population densities </w:t>
      </w:r>
      <w:r w:rsidRPr="00250E10">
        <w:t xml:space="preserve">such as they would occur </w:t>
      </w:r>
      <w:r>
        <w:t xml:space="preserve">within a </w:t>
      </w:r>
      <w:r w:rsidRPr="00250E10">
        <w:t>“</w:t>
      </w:r>
      <w:r>
        <w:t>natural range of variation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 xml:space="preserve">his study seeks to determine whether the increased numbers of </w:t>
      </w:r>
      <w:r>
        <w:t>pink salmon</w:t>
      </w:r>
      <w:r w:rsidRPr="00250E10">
        <w:t xml:space="preserve"> observed at Indian River are </w:t>
      </w:r>
      <w:r>
        <w:t>typical</w:t>
      </w:r>
      <w:r w:rsidRPr="00250E10">
        <w:t xml:space="preserve"> of trends in the wider region</w:t>
      </w:r>
      <w:r>
        <w:t>, or whether hatchery operations may be driving the hyperabundant runs in recent years</w:t>
      </w:r>
      <w:r w:rsidRPr="00250E10">
        <w:t xml:space="preserve">. </w:t>
      </w:r>
      <w:commentRangeEnd w:id="2"/>
      <w:r w:rsidRPr="00776C8C">
        <w:rPr>
          <w:rStyle w:val="CommentReference"/>
          <w:sz w:val="24"/>
          <w:szCs w:val="24"/>
          <w:u w:val="single"/>
        </w:rPr>
        <w:commentReference w:id="2"/>
      </w:r>
      <w:r w:rsidRPr="00776C8C">
        <w:rPr>
          <w:u w:val="single"/>
        </w:rPr>
        <w:br w:type="page"/>
      </w:r>
    </w:p>
    <w:p w14:paraId="6DA36FDE" w14:textId="77777777" w:rsidR="009845B1" w:rsidRPr="006A4B2F" w:rsidRDefault="009845B1" w:rsidP="009845B1">
      <w:pPr>
        <w:suppressLineNumbers/>
        <w:spacing w:after="0" w:line="240" w:lineRule="auto"/>
        <w:rPr>
          <w:u w:val="single"/>
        </w:rPr>
      </w:pPr>
      <w:r w:rsidRPr="006A4B2F">
        <w:rPr>
          <w:u w:val="single"/>
        </w:rPr>
        <w:lastRenderedPageBreak/>
        <w:t>Authors:</w:t>
      </w:r>
    </w:p>
    <w:p w14:paraId="32077C6E" w14:textId="77777777" w:rsidR="009845B1" w:rsidRDefault="009845B1" w:rsidP="009845B1">
      <w:pPr>
        <w:suppressLineNumbers/>
        <w:spacing w:after="0" w:line="240" w:lineRule="auto"/>
      </w:pPr>
      <w:r>
        <w:t>Brian McGreal</w:t>
      </w:r>
    </w:p>
    <w:p w14:paraId="643D4746" w14:textId="77777777" w:rsidR="009845B1" w:rsidRDefault="009845B1" w:rsidP="009845B1">
      <w:pPr>
        <w:suppressLineNumbers/>
        <w:spacing w:after="0" w:line="240" w:lineRule="auto"/>
      </w:pPr>
      <w:r>
        <w:t>Quantitative Ecology and Resource Management</w:t>
      </w:r>
    </w:p>
    <w:p w14:paraId="1DE434EE" w14:textId="77777777" w:rsidR="009845B1" w:rsidRDefault="009845B1" w:rsidP="009845B1">
      <w:pPr>
        <w:suppressLineNumbers/>
        <w:spacing w:after="0" w:line="240" w:lineRule="auto"/>
      </w:pPr>
      <w:r>
        <w:t>University of Washington</w:t>
      </w:r>
    </w:p>
    <w:p w14:paraId="56CF4289" w14:textId="77777777" w:rsidR="009845B1" w:rsidRDefault="009845B1" w:rsidP="009845B1">
      <w:pPr>
        <w:suppressLineNumbers/>
        <w:spacing w:after="0" w:line="240" w:lineRule="auto"/>
      </w:pPr>
      <w:r>
        <w:t>Seattle, WA</w:t>
      </w:r>
    </w:p>
    <w:p w14:paraId="683864D3" w14:textId="77777777" w:rsidR="009845B1" w:rsidRDefault="009845B1" w:rsidP="009845B1">
      <w:pPr>
        <w:suppressLineNumbers/>
        <w:spacing w:after="0" w:line="240" w:lineRule="auto"/>
      </w:pPr>
    </w:p>
    <w:p w14:paraId="5680D170" w14:textId="77777777" w:rsidR="009845B1" w:rsidRDefault="009845B1" w:rsidP="009845B1">
      <w:pPr>
        <w:suppressLineNumbers/>
        <w:spacing w:after="0" w:line="240" w:lineRule="auto"/>
      </w:pPr>
      <w:r>
        <w:t>Scott Gende</w:t>
      </w:r>
    </w:p>
    <w:p w14:paraId="26EF86E9" w14:textId="77777777" w:rsidR="009845B1" w:rsidRDefault="009845B1" w:rsidP="009845B1">
      <w:pPr>
        <w:suppressLineNumbers/>
        <w:spacing w:after="0" w:line="240" w:lineRule="auto"/>
      </w:pPr>
      <w:r>
        <w:t>U.S. National Park Service</w:t>
      </w:r>
    </w:p>
    <w:p w14:paraId="4E176E96" w14:textId="77777777" w:rsidR="009845B1" w:rsidRDefault="009845B1" w:rsidP="009845B1">
      <w:pPr>
        <w:suppressLineNumbers/>
        <w:spacing w:after="0" w:line="240" w:lineRule="auto"/>
      </w:pPr>
      <w:r>
        <w:t>Alaska Regional Office</w:t>
      </w:r>
    </w:p>
    <w:p w14:paraId="73FA5771" w14:textId="77777777" w:rsidR="009845B1" w:rsidRDefault="009845B1" w:rsidP="009845B1">
      <w:pPr>
        <w:suppressLineNumbers/>
        <w:spacing w:after="0" w:line="240" w:lineRule="auto"/>
      </w:pPr>
      <w:r>
        <w:t>Juneau, AK</w:t>
      </w:r>
    </w:p>
    <w:p w14:paraId="65F979EB" w14:textId="77777777" w:rsidR="009845B1" w:rsidRDefault="009845B1" w:rsidP="009845B1">
      <w:pPr>
        <w:suppressLineNumbers/>
        <w:spacing w:after="0" w:line="240" w:lineRule="auto"/>
      </w:pPr>
    </w:p>
    <w:p w14:paraId="2EC70D8E" w14:textId="77777777" w:rsidR="009845B1" w:rsidRDefault="009845B1" w:rsidP="009845B1">
      <w:pPr>
        <w:suppressLineNumbers/>
        <w:spacing w:after="0" w:line="240" w:lineRule="auto"/>
      </w:pPr>
      <w:r>
        <w:t>Mark Scheuerell</w:t>
      </w:r>
    </w:p>
    <w:p w14:paraId="255FCA9E" w14:textId="77777777" w:rsidR="009845B1" w:rsidRDefault="009845B1" w:rsidP="009845B1">
      <w:pPr>
        <w:suppressLineNumbers/>
        <w:spacing w:after="0" w:line="240" w:lineRule="auto"/>
      </w:pPr>
      <w:r>
        <w:t>U.S. Geological Survey, Washington Cooperative Fish and Wildlife Research Unit</w:t>
      </w:r>
    </w:p>
    <w:p w14:paraId="66ECD48E" w14:textId="77777777" w:rsidR="009845B1" w:rsidRDefault="009845B1" w:rsidP="009845B1">
      <w:pPr>
        <w:suppressLineNumbers/>
        <w:spacing w:after="0" w:line="240" w:lineRule="auto"/>
      </w:pPr>
      <w:r>
        <w:t>School of Aquatic and Fishery Sciences</w:t>
      </w:r>
    </w:p>
    <w:p w14:paraId="26A33E87" w14:textId="77777777" w:rsidR="009845B1" w:rsidRDefault="009845B1" w:rsidP="009845B1">
      <w:pPr>
        <w:suppressLineNumbers/>
        <w:spacing w:after="0" w:line="240" w:lineRule="auto"/>
      </w:pPr>
      <w:r>
        <w:t>University of Washington</w:t>
      </w:r>
    </w:p>
    <w:p w14:paraId="5FA28CF2" w14:textId="77777777" w:rsidR="009845B1" w:rsidRDefault="009845B1" w:rsidP="009845B1">
      <w:pPr>
        <w:suppressLineNumbers/>
        <w:spacing w:after="0" w:line="240" w:lineRule="auto"/>
      </w:pPr>
      <w:r>
        <w:t>Seattle, WA</w:t>
      </w:r>
    </w:p>
    <w:p w14:paraId="7A05F9D3" w14:textId="77777777" w:rsidR="009845B1" w:rsidRDefault="009845B1" w:rsidP="009845B1">
      <w:pPr>
        <w:suppressLineNumbers/>
        <w:spacing w:after="0" w:line="240" w:lineRule="auto"/>
      </w:pPr>
    </w:p>
    <w:p w14:paraId="524E12A8" w14:textId="77777777" w:rsidR="009845B1" w:rsidRDefault="009845B1" w:rsidP="009845B1">
      <w:pPr>
        <w:suppressLineNumbers/>
        <w:spacing w:after="0" w:line="240" w:lineRule="auto"/>
      </w:pPr>
      <w:r>
        <w:t>Thomas Quinn</w:t>
      </w:r>
    </w:p>
    <w:p w14:paraId="182E8C61" w14:textId="77777777" w:rsidR="009845B1" w:rsidRDefault="009845B1" w:rsidP="009845B1">
      <w:pPr>
        <w:suppressLineNumbers/>
        <w:spacing w:after="0" w:line="240" w:lineRule="auto"/>
      </w:pPr>
      <w:r>
        <w:t>School of Aquatic and Fishery Sciences</w:t>
      </w:r>
    </w:p>
    <w:p w14:paraId="4CCC1471" w14:textId="77777777" w:rsidR="009845B1" w:rsidRDefault="009845B1" w:rsidP="009845B1">
      <w:pPr>
        <w:suppressLineNumbers/>
        <w:spacing w:after="0" w:line="240" w:lineRule="auto"/>
      </w:pPr>
      <w:r>
        <w:t>University of Washington</w:t>
      </w:r>
    </w:p>
    <w:p w14:paraId="4C391D86" w14:textId="77777777" w:rsidR="009845B1" w:rsidRDefault="009845B1" w:rsidP="009845B1">
      <w:pPr>
        <w:suppressLineNumbers/>
        <w:spacing w:after="0" w:line="240" w:lineRule="auto"/>
      </w:pPr>
      <w:r>
        <w:t>Seattle, WA</w:t>
      </w:r>
    </w:p>
    <w:p w14:paraId="462E7BCA" w14:textId="77777777" w:rsidR="009845B1" w:rsidRDefault="009845B1" w:rsidP="009845B1">
      <w:pPr>
        <w:suppressLineNumbers/>
        <w:spacing w:after="0" w:line="240" w:lineRule="auto"/>
      </w:pPr>
    </w:p>
    <w:p w14:paraId="004FD39F" w14:textId="77777777" w:rsidR="009845B1" w:rsidRPr="00E60E72" w:rsidRDefault="009845B1" w:rsidP="009845B1">
      <w:pPr>
        <w:suppressLineNumbers/>
        <w:spacing w:after="0" w:line="240" w:lineRule="auto"/>
        <w:rPr>
          <w:u w:val="single"/>
        </w:rPr>
      </w:pPr>
      <w:r w:rsidRPr="00E60E72">
        <w:rPr>
          <w:u w:val="single"/>
        </w:rPr>
        <w:t xml:space="preserve">Acknowledgements: </w:t>
      </w:r>
    </w:p>
    <w:p w14:paraId="11762912" w14:textId="77777777" w:rsidR="009845B1" w:rsidRDefault="009845B1" w:rsidP="009845B1">
      <w:pPr>
        <w:suppressLineNumbers/>
        <w:spacing w:after="0" w:line="240" w:lineRule="auto"/>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Finally, collaboration from Alaska Department of Fish and Game biologists Aaron Dupuis and Justin Priest has enabled this work to compare Indian River pink salmon abundances to those seen elsewhere in the vicinity of Sitka, a vital component of this research. This research has occurred on the ancestral homeland and with the approval of the Sitka Tribe of Alaska.  </w:t>
      </w:r>
    </w:p>
    <w:p w14:paraId="5443E563" w14:textId="135ACD96" w:rsidR="009845B1" w:rsidRDefault="009845B1" w:rsidP="009845B1">
      <w:pPr>
        <w:suppressLineNumbers/>
        <w:spacing w:after="0" w:line="240" w:lineRule="auto"/>
        <w:rPr>
          <w:b/>
          <w:bCs/>
          <w:u w:val="single"/>
        </w:rPr>
      </w:pPr>
      <w:r>
        <w:br w:type="page"/>
      </w:r>
    </w:p>
    <w:p w14:paraId="6D0A6A07" w14:textId="1C71C94A" w:rsidR="00670218" w:rsidRPr="00626338" w:rsidRDefault="00670218">
      <w:pPr>
        <w:spacing w:after="0" w:line="480" w:lineRule="auto"/>
        <w:rPr>
          <w:b/>
          <w:bCs/>
          <w:u w:val="single"/>
          <w:rPrChange w:id="3" w:author="Brian E McGreal" w:date="2026-03-27T10:38:00Z" w16du:dateUtc="2026-03-27T17:38:00Z">
            <w:rPr/>
          </w:rPrChange>
        </w:rPr>
        <w:pPrChange w:id="4" w:author="Brian E McGreal" w:date="2026-03-27T10:38:00Z" w16du:dateUtc="2026-03-27T17:38:00Z">
          <w:pPr>
            <w:pStyle w:val="ListParagraph"/>
            <w:spacing w:after="0" w:line="480" w:lineRule="auto"/>
            <w:ind w:left="360"/>
          </w:pPr>
        </w:pPrChange>
      </w:pPr>
      <w:r w:rsidRPr="00626338">
        <w:rPr>
          <w:b/>
          <w:bCs/>
          <w:u w:val="single"/>
          <w:rPrChange w:id="5" w:author="Brian E McGreal" w:date="2026-03-27T10:38:00Z" w16du:dateUtc="2026-03-27T17:38:00Z">
            <w:rPr/>
          </w:rPrChange>
        </w:rPr>
        <w:lastRenderedPageBreak/>
        <w:t xml:space="preserve">Introduction </w:t>
      </w:r>
    </w:p>
    <w:p w14:paraId="226B7545" w14:textId="7583F15A" w:rsidR="008E583F" w:rsidRDefault="00226B01" w:rsidP="00A017CB">
      <w:pPr>
        <w:spacing w:after="0" w:line="480" w:lineRule="auto"/>
        <w:ind w:firstLine="720"/>
        <w:rPr>
          <w:ins w:id="6" w:author="Brian E McGreal" w:date="2026-03-09T09:14:00Z" w16du:dateUtc="2026-03-09T16:14:00Z"/>
        </w:rPr>
      </w:pPr>
      <w:ins w:id="7" w:author="Brian E McGreal" w:date="2026-03-09T09:22:00Z" w16du:dateUtc="2026-03-09T16:22:00Z">
        <w:r>
          <w:t>C</w:t>
        </w:r>
      </w:ins>
      <w:ins w:id="8" w:author="Brian E McGreal" w:date="2026-03-09T09:21:00Z" w16du:dateUtc="2026-03-09T16:21:00Z">
        <w:r>
          <w:t xml:space="preserve">onservation issues </w:t>
        </w:r>
      </w:ins>
      <w:ins w:id="9" w:author="Brian E McGreal" w:date="2026-03-09T09:22:00Z" w16du:dateUtc="2026-03-09T16:22:00Z">
        <w:r>
          <w:t xml:space="preserve">related to individual species are often the result of either the scarcity </w:t>
        </w:r>
      </w:ins>
      <w:ins w:id="10" w:author="Brian E McGreal" w:date="2026-03-09T09:24:00Z" w16du:dateUtc="2026-03-09T16:24:00Z">
        <w:r>
          <w:t xml:space="preserve">of a native plant or animal species, or </w:t>
        </w:r>
      </w:ins>
      <w:ins w:id="11" w:author="Brian E McGreal" w:date="2026-03-09T09:25:00Z" w16du:dateUtc="2026-03-09T16:25:00Z">
        <w:r>
          <w:t xml:space="preserve">of </w:t>
        </w:r>
      </w:ins>
      <w:ins w:id="12" w:author="Brian E McGreal" w:date="2026-03-09T09:24:00Z" w16du:dateUtc="2026-03-09T16:24:00Z">
        <w:r>
          <w:t>an abundance of non-native (exotic, invasive) species</w:t>
        </w:r>
      </w:ins>
      <w:ins w:id="13" w:author="Brian E McGreal" w:date="2026-03-09T09:25:00Z" w16du:dateUtc="2026-03-09T16:25:00Z">
        <w:r>
          <w:t xml:space="preserve">, </w:t>
        </w:r>
      </w:ins>
      <w:ins w:id="14" w:author="Brian E McGreal" w:date="2026-03-09T09:26:00Z" w16du:dateUtc="2026-03-09T16:26:00Z">
        <w:r>
          <w:t xml:space="preserve">with </w:t>
        </w:r>
      </w:ins>
      <w:ins w:id="15" w:author="Brian E McGreal" w:date="2026-03-09T09:25:00Z" w16du:dateUtc="2026-03-09T16:25:00Z">
        <w:r>
          <w:t xml:space="preserve">either </w:t>
        </w:r>
      </w:ins>
      <w:ins w:id="16" w:author="Brian E McGreal" w:date="2026-03-09T09:26:00Z" w16du:dateUtc="2026-03-09T16:26:00Z">
        <w:r>
          <w:t xml:space="preserve">scenario capable </w:t>
        </w:r>
      </w:ins>
      <w:ins w:id="17" w:author="Brian E McGreal" w:date="2026-03-09T09:25:00Z" w16du:dateUtc="2026-03-09T16:25:00Z">
        <w:r>
          <w:t xml:space="preserve">of </w:t>
        </w:r>
      </w:ins>
      <w:ins w:id="18" w:author="Brian E McGreal" w:date="2026-03-09T09:26:00Z" w16du:dateUtc="2026-03-09T16:26:00Z">
        <w:r>
          <w:t>imperiling</w:t>
        </w:r>
      </w:ins>
      <w:ins w:id="19" w:author="Brian E McGreal" w:date="2026-03-09T09:25:00Z" w16du:dateUtc="2026-03-09T16:25:00Z">
        <w:r>
          <w:t xml:space="preserve"> the ecosystems in which they occur</w:t>
        </w:r>
      </w:ins>
      <w:ins w:id="20" w:author="Brian E McGreal" w:date="2026-03-09T10:11:00Z" w16du:dateUtc="2026-03-09T17:11:00Z">
        <w:r w:rsidR="005D5E6A">
          <w:t xml:space="preserve"> (</w:t>
        </w:r>
      </w:ins>
      <w:ins w:id="21" w:author="Brian E McGreal" w:date="2026-03-09T11:06:00Z" w16du:dateUtc="2026-03-09T18:06:00Z">
        <w:r w:rsidR="00E06BFE">
          <w:t>El</w:t>
        </w:r>
      </w:ins>
      <w:ins w:id="22" w:author="Brian E McGreal" w:date="2026-03-09T11:07:00Z" w16du:dateUtc="2026-03-09T18:07:00Z">
        <w:r w:rsidR="00E06BFE">
          <w:t xml:space="preserve">lison et al. 2005, </w:t>
        </w:r>
      </w:ins>
      <w:ins w:id="23" w:author="Brian E McGreal" w:date="2026-03-09T11:08:00Z" w16du:dateUtc="2026-03-09T18:08:00Z">
        <w:r w:rsidR="00E06BFE">
          <w:t xml:space="preserve">Gallardo et al. 2015, </w:t>
        </w:r>
      </w:ins>
      <w:ins w:id="24" w:author="Brian E McGreal" w:date="2026-03-09T10:11:00Z" w16du:dateUtc="2026-03-09T17:11:00Z">
        <w:r w:rsidR="005D5E6A">
          <w:t>Jes</w:t>
        </w:r>
      </w:ins>
      <w:ins w:id="25" w:author="Brian E McGreal" w:date="2026-03-09T10:12:00Z" w16du:dateUtc="2026-03-09T17:12:00Z">
        <w:r w:rsidR="005D5E6A">
          <w:t>chke et al. 2014</w:t>
        </w:r>
      </w:ins>
      <w:ins w:id="26" w:author="Brian E McGreal" w:date="2026-03-09T10:11:00Z" w16du:dateUtc="2026-03-09T17:11:00Z">
        <w:r w:rsidR="005D5E6A">
          <w:t>)</w:t>
        </w:r>
      </w:ins>
      <w:ins w:id="27" w:author="Brian E McGreal" w:date="2026-03-09T09:25:00Z" w16du:dateUtc="2026-03-09T16:25:00Z">
        <w:r>
          <w:t>.</w:t>
        </w:r>
      </w:ins>
      <w:ins w:id="28" w:author="Brian E McGreal" w:date="2026-03-09T09:17:00Z" w16du:dateUtc="2026-03-09T16:17:00Z">
        <w:r w:rsidR="008E583F">
          <w:t xml:space="preserve"> </w:t>
        </w:r>
      </w:ins>
      <w:ins w:id="29" w:author="Brian E McGreal" w:date="2026-03-09T09:16:00Z" w16du:dateUtc="2026-03-09T16:16:00Z">
        <w:r w:rsidR="008E583F">
          <w:t xml:space="preserve"> </w:t>
        </w:r>
      </w:ins>
      <w:ins w:id="30" w:author="Brian E McGreal" w:date="2026-03-09T09:14:00Z" w16du:dateUtc="2026-03-09T16:14:00Z">
        <w:r w:rsidR="008E583F">
          <w:t>However, harm to ecosystems can also be driven by the hyperabundance of a native species, due either to shifting regional trends in habitat suitability, to direct (and often anthropogenic) intervention, or to a combination of these factors (Sambaraju and Goodsman 2021, Beckett et al. 2022, Moore et al. 2023).</w:t>
        </w:r>
      </w:ins>
    </w:p>
    <w:p w14:paraId="439291BE" w14:textId="050856A2" w:rsidR="00670218" w:rsidRDefault="00670218" w:rsidP="00A017CB">
      <w:pPr>
        <w:spacing w:after="0" w:line="480" w:lineRule="auto"/>
        <w:ind w:firstLine="720"/>
      </w:pPr>
      <w:r>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t xml:space="preserve">been to maintain abundances within a ‘natural range of variation’. Pursuant to this, park managers are often </w:t>
      </w:r>
      <w:commentRangeStart w:id="31"/>
      <w:r>
        <w:t>confronted with either the scarcity of native plant or animal species</w:t>
      </w:r>
      <w:r w:rsidR="005078EE">
        <w:t>,</w:t>
      </w:r>
      <w:r>
        <w:t xml:space="preserve"> or an abundance of non-native (exotic, invasive) species that may damage park ecosystems </w:t>
      </w:r>
      <w:commentRangeEnd w:id="31"/>
      <w:r w:rsidR="00226B01">
        <w:rPr>
          <w:rStyle w:val="CommentReference"/>
          <w:rFonts w:cstheme="minorHAnsi"/>
          <w:color w:val="202122"/>
          <w:sz w:val="24"/>
          <w:szCs w:val="24"/>
          <w:shd w:val="clear" w:color="auto" w:fill="FFFFFF"/>
        </w:rPr>
        <w:commentReference w:id="31"/>
      </w:r>
      <w:r>
        <w:rPr>
          <w:rFonts w:cstheme="minorHAnsi"/>
          <w:color w:val="202122"/>
          <w:shd w:val="clear" w:color="auto" w:fill="FFFFFF"/>
        </w:rPr>
        <w:t>(National Park Service 2025a)</w:t>
      </w:r>
      <w:r>
        <w:t xml:space="preserve">. </w:t>
      </w:r>
      <w:del w:id="32" w:author="Brian E McGreal" w:date="2026-03-09T09:18:00Z" w16du:dateUtc="2026-03-09T16:18:00Z">
        <w:r w:rsidDel="008E583F">
          <w:delText xml:space="preserve">However, harm to ecosystems can also be driven by </w:delText>
        </w:r>
        <w:r w:rsidR="005078EE" w:rsidDel="008E583F">
          <w:delText>the</w:delText>
        </w:r>
        <w:r w:rsidDel="008E583F">
          <w:delText xml:space="preserve"> hyperabundance of a native species, due either to shifting regional trends in habitat suitability, to direct (and often anthropogenic) intervention, or to a combination of these factors (Sambaraju and Goodsman 2021, Beckett et al. 2022, Moore et al. 2023). </w:delText>
        </w:r>
      </w:del>
      <w:r w:rsidR="005078EE">
        <w:t>For example, in Yellowstone National Park, native mountain pine beetles (</w:t>
      </w:r>
      <w:r w:rsidR="005078EE">
        <w:rPr>
          <w:i/>
          <w:iCs/>
        </w:rPr>
        <w:t>Dendroctonus ponderosae</w:t>
      </w:r>
      <w:r w:rsidR="005078EE">
        <w:t>) have recently decimated coniferous forests due to a lack of cold winter temperatures, which have traditionally limited the insects’ numbers and, by extension, their impacts on forests (Gibson et al. 2008). Likewise, in many midwestern and eastern national parks, habitat alterations and the extirpation of natural predators outside park boundaries have led to unprecedented densities of white-tailed deer (</w:t>
      </w:r>
      <w:r w:rsidR="005078EE">
        <w:rPr>
          <w:i/>
          <w:iCs/>
        </w:rPr>
        <w:t>Odocoileus virginianus</w:t>
      </w:r>
      <w:r w:rsidR="005078EE">
        <w:t xml:space="preserve">), capable of intense foraging on vegetation and the depletion of resources on which other species depend (Miller et al. 2023). </w:t>
      </w:r>
      <w:r>
        <w:t xml:space="preserve">While there is little debate that </w:t>
      </w:r>
      <w:r>
        <w:lastRenderedPageBreak/>
        <w:t>these occurrences generate a need for management action,</w:t>
      </w:r>
      <w:r w:rsidR="005078EE">
        <w:t xml:space="preserve"> </w:t>
      </w:r>
      <w:r>
        <w:t xml:space="preserve">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w:t>
      </w:r>
      <w:r w:rsidR="00A017CB">
        <w:t>finding themselves confronted with such issues must make careful and informed decisions based on the best scientific information available</w:t>
      </w:r>
      <w:r>
        <w:t xml:space="preserve"> as they seek to interpret and implement the mandate to preserve resources in a natural condition. </w:t>
      </w:r>
    </w:p>
    <w:p w14:paraId="6E37A897" w14:textId="2312125D" w:rsidR="00670218" w:rsidRDefault="00670218" w:rsidP="009056D1">
      <w:pPr>
        <w:spacing w:after="0" w:line="480" w:lineRule="auto"/>
        <w:ind w:firstLine="360"/>
      </w:pPr>
      <w:r>
        <w:t xml:space="preserve">With these ideas in mind, </w:t>
      </w:r>
      <w:r w:rsidR="00303024">
        <w:t xml:space="preserve">this research is focused on a population of pink salmon </w:t>
      </w:r>
      <w:r w:rsidR="00303024" w:rsidRPr="00A017CB">
        <w:rPr>
          <w:rFonts w:cstheme="minorHAnsi"/>
          <w:color w:val="202122"/>
          <w:shd w:val="clear" w:color="auto" w:fill="FFFFFF"/>
        </w:rPr>
        <w:t>(</w:t>
      </w:r>
      <w:r w:rsidR="00303024" w:rsidRPr="00A017CB">
        <w:rPr>
          <w:i/>
          <w:iCs/>
        </w:rPr>
        <w:t>Oncorhynchus</w:t>
      </w:r>
      <w:r w:rsidR="00303024" w:rsidRPr="00A017CB">
        <w:rPr>
          <w:rFonts w:cstheme="minorHAnsi"/>
          <w:i/>
          <w:iCs/>
          <w:color w:val="202122"/>
          <w:shd w:val="clear" w:color="auto" w:fill="FFFFFF"/>
        </w:rPr>
        <w:t xml:space="preserve"> gorbuscha</w:t>
      </w:r>
      <w:r w:rsidR="00303024" w:rsidRPr="00A017CB">
        <w:rPr>
          <w:rFonts w:cstheme="minorHAnsi"/>
          <w:color w:val="202122"/>
          <w:shd w:val="clear" w:color="auto" w:fill="FFFFFF"/>
        </w:rPr>
        <w:t>, Cháas’)</w:t>
      </w:r>
      <w:r w:rsidR="00303024">
        <w:rPr>
          <w:rFonts w:cstheme="minorHAnsi"/>
          <w:color w:val="202122"/>
          <w:shd w:val="clear" w:color="auto" w:fill="FFFFFF"/>
        </w:rPr>
        <w:t xml:space="preserve"> that has seen dramatic increases in population density in recent decades, and whose </w:t>
      </w:r>
      <w:r w:rsidR="00740E18">
        <w:rPr>
          <w:rFonts w:cstheme="minorHAnsi"/>
          <w:color w:val="202122"/>
          <w:shd w:val="clear" w:color="auto" w:fill="FFFFFF"/>
        </w:rPr>
        <w:t xml:space="preserve">spawning grounds </w:t>
      </w:r>
      <w:r w:rsidR="00303024">
        <w:rPr>
          <w:rFonts w:cstheme="minorHAnsi"/>
          <w:color w:val="202122"/>
          <w:shd w:val="clear" w:color="auto" w:fill="FFFFFF"/>
        </w:rPr>
        <w:t>fall</w:t>
      </w:r>
      <w:r w:rsidR="00740E18">
        <w:rPr>
          <w:rFonts w:cstheme="minorHAnsi"/>
          <w:color w:val="202122"/>
          <w:shd w:val="clear" w:color="auto" w:fill="FFFFFF"/>
        </w:rPr>
        <w:t xml:space="preserve"> largely</w:t>
      </w:r>
      <w:r w:rsidR="00303024">
        <w:rPr>
          <w:rFonts w:cstheme="minorHAnsi"/>
          <w:color w:val="202122"/>
          <w:shd w:val="clear" w:color="auto" w:fill="FFFFFF"/>
        </w:rPr>
        <w:t xml:space="preserve"> within the boundaries of a small national park in </w:t>
      </w:r>
      <w:r w:rsidR="00740E18">
        <w:rPr>
          <w:rFonts w:cstheme="minorHAnsi"/>
          <w:color w:val="202122"/>
          <w:shd w:val="clear" w:color="auto" w:fill="FFFFFF"/>
        </w:rPr>
        <w:t xml:space="preserve">Alaska’s </w:t>
      </w:r>
      <w:r w:rsidR="00740E18">
        <w:t>southeastern panhandle.</w:t>
      </w:r>
      <w:r w:rsidR="00303024">
        <w:rPr>
          <w:rFonts w:cstheme="minorHAnsi"/>
          <w:color w:val="202122"/>
          <w:shd w:val="clear" w:color="auto" w:fill="FFFFFF"/>
        </w:rPr>
        <w:t xml:space="preserve"> </w:t>
      </w:r>
      <w:r w:rsidR="00303024">
        <w:t xml:space="preserve"> </w:t>
      </w:r>
      <w:r>
        <w:t xml:space="preserve">Sitka National Historical Park (SITK) </w:t>
      </w:r>
      <w:r w:rsidR="00740E18">
        <w:t xml:space="preserve">is </w:t>
      </w:r>
      <w:r>
        <w:t xml:space="preserve">a small 112-acre coastal park located </w:t>
      </w:r>
      <w:r w:rsidR="00740E18">
        <w:t>(as the name suggests) in Sitka, Alaska</w:t>
      </w:r>
      <w:r>
        <w:t xml:space="preserve">. </w:t>
      </w:r>
      <w:r w:rsidR="00740E18">
        <w:t>Originally</w:t>
      </w:r>
      <w:r>
        <w:t xml:space="preserve"> designated a National Monument in 1910</w:t>
      </w:r>
      <w:r w:rsidR="00740E18">
        <w:t xml:space="preserve"> for the purpose of</w:t>
      </w:r>
      <w:r>
        <w:t xml:space="preserve"> conserv</w:t>
      </w:r>
      <w:r w:rsidR="00740E18">
        <w:t>ing</w:t>
      </w:r>
      <w:r>
        <w:t xml:space="preserve"> the site of an 1804 battle </w:t>
      </w:r>
      <w:r w:rsidRPr="00A017CB">
        <w:rPr>
          <w:rFonts w:cstheme="minorHAnsi"/>
          <w:color w:val="202122"/>
          <w:shd w:val="clear" w:color="auto" w:fill="FFFFFF"/>
        </w:rPr>
        <w:t>between the native Tlingit Kiks.ádi clan and Russian colonizers</w:t>
      </w:r>
      <w:r w:rsidR="00740E18">
        <w:rPr>
          <w:rFonts w:cstheme="minorHAnsi"/>
          <w:color w:val="202122"/>
          <w:shd w:val="clear" w:color="auto" w:fill="FFFFFF"/>
        </w:rPr>
        <w:t xml:space="preserve">, </w:t>
      </w:r>
      <w:r w:rsidR="00740E18">
        <w:t>today the park is managed to</w:t>
      </w:r>
      <w:r w:rsidR="00740E18" w:rsidRPr="00A017CB">
        <w:rPr>
          <w:rFonts w:cstheme="minorHAnsi"/>
          <w:color w:val="202122"/>
          <w:shd w:val="clear" w:color="auto" w:fill="FFFFFF"/>
        </w:rPr>
        <w:t xml:space="preserve"> preserve </w:t>
      </w:r>
      <w:r w:rsidR="00740E18">
        <w:rPr>
          <w:rFonts w:cstheme="minorHAnsi"/>
          <w:color w:val="202122"/>
          <w:shd w:val="clear" w:color="auto" w:fill="FFFFFF"/>
        </w:rPr>
        <w:t xml:space="preserve">not only the historical battleground, but </w:t>
      </w:r>
      <w:r w:rsidR="00740E18" w:rsidRPr="00A017CB">
        <w:rPr>
          <w:rFonts w:cstheme="minorHAnsi"/>
          <w:color w:val="202122"/>
          <w:shd w:val="clear" w:color="auto" w:fill="FFFFFF"/>
        </w:rPr>
        <w:t xml:space="preserve">the </w:t>
      </w:r>
      <w:r w:rsidR="00740E18">
        <w:t>ecosystems</w:t>
      </w:r>
      <w:r w:rsidR="00740E18" w:rsidRPr="00A017CB">
        <w:rPr>
          <w:rFonts w:cstheme="minorHAnsi"/>
          <w:color w:val="202122"/>
          <w:shd w:val="clear" w:color="auto" w:fill="FFFFFF"/>
        </w:rPr>
        <w:t xml:space="preserve"> </w:t>
      </w:r>
      <w:r w:rsidR="00740E18">
        <w:rPr>
          <w:rFonts w:cstheme="minorHAnsi"/>
          <w:color w:val="202122"/>
          <w:shd w:val="clear" w:color="auto" w:fill="FFFFFF"/>
        </w:rPr>
        <w:t xml:space="preserve">and </w:t>
      </w:r>
      <w:r w:rsidR="00740E18" w:rsidRPr="00A017CB">
        <w:rPr>
          <w:rFonts w:cstheme="minorHAnsi"/>
          <w:color w:val="202122"/>
          <w:shd w:val="clear" w:color="auto" w:fill="FFFFFF"/>
        </w:rPr>
        <w:t>natural resources present in the surrounding area</w:t>
      </w:r>
      <w:r w:rsidR="00740E18">
        <w:rPr>
          <w:rFonts w:cstheme="minorHAnsi"/>
          <w:color w:val="202122"/>
          <w:shd w:val="clear" w:color="auto" w:fill="FFFFFF"/>
        </w:rPr>
        <w:t>. These</w:t>
      </w:r>
      <w:r w:rsidR="00740E18">
        <w:t xml:space="preserve"> include mature spruce-hemlock forests and </w:t>
      </w:r>
      <w:commentRangeStart w:id="33"/>
      <w:r w:rsidR="009056D1" w:rsidRPr="00A017CB">
        <w:rPr>
          <w:rFonts w:cstheme="minorHAnsi"/>
          <w:color w:val="202122"/>
          <w:u w:val="single"/>
          <w:shd w:val="clear" w:color="auto" w:fill="FFFFFF"/>
        </w:rPr>
        <w:t>K</w:t>
      </w:r>
      <w:r w:rsidR="009056D1" w:rsidRPr="00A017CB">
        <w:rPr>
          <w:rFonts w:cstheme="minorHAnsi"/>
          <w:color w:val="202122"/>
          <w:shd w:val="clear" w:color="auto" w:fill="FFFFFF"/>
        </w:rPr>
        <w:t xml:space="preserve">aasda Héen </w:t>
      </w:r>
      <w:r w:rsidR="009056D1">
        <w:rPr>
          <w:rFonts w:cstheme="minorHAnsi"/>
          <w:color w:val="202122"/>
          <w:shd w:val="clear" w:color="auto" w:fill="FFFFFF"/>
        </w:rPr>
        <w:t xml:space="preserve">(the </w:t>
      </w:r>
      <w:r w:rsidR="00740E18">
        <w:t>Indian River</w:t>
      </w:r>
      <w:r w:rsidR="009056D1">
        <w:t>)</w:t>
      </w:r>
      <w:r w:rsidR="00740E18">
        <w:t>, the main reach and intertidal area of which fall within park boundaries.</w:t>
      </w:r>
      <w:r w:rsidRPr="00A017CB">
        <w:rPr>
          <w:rFonts w:cstheme="minorHAnsi"/>
          <w:color w:val="202122"/>
          <w:shd w:val="clear" w:color="auto" w:fill="FFFFFF"/>
        </w:rPr>
        <w:t xml:space="preserve"> </w:t>
      </w:r>
      <w:r>
        <w:t>(National Park Service 2025b)</w:t>
      </w:r>
      <w:r w:rsidRPr="00A017CB">
        <w:rPr>
          <w:rFonts w:cstheme="minorHAnsi"/>
          <w:color w:val="202122"/>
          <w:shd w:val="clear" w:color="auto" w:fill="FFFFFF"/>
        </w:rPr>
        <w:t>.</w:t>
      </w:r>
      <w:r w:rsidR="009056D1">
        <w:rPr>
          <w:rFonts w:cstheme="minorHAnsi"/>
          <w:color w:val="202122"/>
          <w:shd w:val="clear" w:color="auto" w:fill="FFFFFF"/>
        </w:rPr>
        <w:t xml:space="preserve"> </w:t>
      </w:r>
      <w:r w:rsidRPr="00A017CB">
        <w:rPr>
          <w:rFonts w:cstheme="minorHAnsi"/>
          <w:color w:val="202122"/>
          <w:shd w:val="clear" w:color="auto" w:fill="FFFFFF"/>
        </w:rPr>
        <w:t>Since time immemorial</w:t>
      </w:r>
      <w:r w:rsidR="009056D1">
        <w:rPr>
          <w:rFonts w:cstheme="minorHAnsi"/>
          <w:color w:val="202122"/>
          <w:shd w:val="clear" w:color="auto" w:fill="FFFFFF"/>
        </w:rPr>
        <w:t xml:space="preserve">, </w:t>
      </w:r>
      <w:r w:rsidRPr="00A017CB">
        <w:rPr>
          <w:rFonts w:cstheme="minorHAnsi"/>
          <w:color w:val="202122"/>
          <w:shd w:val="clear" w:color="auto" w:fill="FFFFFF"/>
        </w:rPr>
        <w:t xml:space="preserve">the Indian River </w:t>
      </w:r>
      <w:commentRangeEnd w:id="33"/>
      <w:r w:rsidR="009056D1" w:rsidRPr="00A017CB">
        <w:rPr>
          <w:rStyle w:val="CommentReference"/>
          <w:rFonts w:cstheme="minorHAnsi"/>
          <w:color w:val="202122"/>
          <w:sz w:val="24"/>
          <w:szCs w:val="24"/>
          <w:shd w:val="clear" w:color="auto" w:fill="FFFFFF"/>
        </w:rPr>
        <w:commentReference w:id="33"/>
      </w:r>
      <w:r w:rsidRPr="00A017CB">
        <w:rPr>
          <w:rFonts w:cstheme="minorHAnsi"/>
          <w:color w:val="202122"/>
          <w:shd w:val="clear" w:color="auto" w:fill="FFFFFF"/>
        </w:rPr>
        <w:t>has been the location of a fishing camp and harvesting site for the Kiks.ádi clan, and particularly valued for its close proximity to the clan’s winter villages, as well as for hosting runs of a variety of Pacific salmon species, including chum (</w:t>
      </w:r>
      <w:r w:rsidR="00303024" w:rsidRPr="00A017CB">
        <w:rPr>
          <w:i/>
          <w:iCs/>
        </w:rPr>
        <w:t>O</w:t>
      </w:r>
      <w:r w:rsidR="00303024">
        <w:rPr>
          <w:i/>
          <w:iCs/>
        </w:rPr>
        <w:t>.</w:t>
      </w:r>
      <w:r w:rsidR="00303024" w:rsidRPr="00A017CB">
        <w:rPr>
          <w:i/>
          <w:iCs/>
        </w:rPr>
        <w:t xml:space="preserve"> </w:t>
      </w:r>
      <w:r w:rsidRPr="00A017CB">
        <w:rPr>
          <w:i/>
          <w:iCs/>
        </w:rPr>
        <w:t>keta, T</w:t>
      </w:r>
      <w:r w:rsidRPr="00EB397D">
        <w:t>éel</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L’ook), Chinook (</w:t>
      </w:r>
      <w:r w:rsidRPr="00A017CB">
        <w:rPr>
          <w:rFonts w:cstheme="minorHAnsi"/>
          <w:i/>
          <w:iCs/>
          <w:color w:val="202122"/>
          <w:shd w:val="clear" w:color="auto" w:fill="FFFFFF"/>
        </w:rPr>
        <w:t>O. tshawytscha</w:t>
      </w:r>
      <w:r w:rsidRPr="00A017CB">
        <w:rPr>
          <w:rFonts w:cstheme="minorHAnsi"/>
          <w:color w:val="202122"/>
          <w:shd w:val="clear" w:color="auto" w:fill="FFFFFF"/>
        </w:rPr>
        <w:t>, T’á), and pink salmon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w:t>
      </w:r>
      <w:r w:rsidR="009056D1">
        <w:rPr>
          <w:rFonts w:cstheme="minorHAnsi"/>
          <w:color w:val="202122"/>
          <w:shd w:val="clear" w:color="auto" w:fill="FFFFFF"/>
        </w:rPr>
        <w:t>After</w:t>
      </w:r>
      <w:r w:rsidR="009056D1" w:rsidRPr="00A017CB">
        <w:rPr>
          <w:rFonts w:cstheme="minorHAnsi"/>
          <w:color w:val="202122"/>
          <w:shd w:val="clear" w:color="auto" w:fill="FFFFFF"/>
        </w:rPr>
        <w:t xml:space="preserve"> </w:t>
      </w:r>
      <w:r w:rsidRPr="00A017CB">
        <w:rPr>
          <w:rFonts w:cstheme="minorHAnsi"/>
          <w:color w:val="202122"/>
          <w:shd w:val="clear" w:color="auto" w:fill="FFFFFF"/>
        </w:rPr>
        <w:t>hatch</w:t>
      </w:r>
      <w:r w:rsidR="009056D1">
        <w:rPr>
          <w:rFonts w:cstheme="minorHAnsi"/>
          <w:color w:val="202122"/>
          <w:shd w:val="clear" w:color="auto" w:fill="FFFFFF"/>
        </w:rPr>
        <w:t>ing</w:t>
      </w:r>
      <w:r w:rsidRPr="00A017CB">
        <w:rPr>
          <w:rFonts w:cstheme="minorHAnsi"/>
          <w:color w:val="202122"/>
          <w:shd w:val="clear" w:color="auto" w:fill="FFFFFF"/>
        </w:rPr>
        <w:t xml:space="preserve"> in the winter</w:t>
      </w:r>
      <w:r w:rsidR="009056D1">
        <w:rPr>
          <w:rFonts w:cstheme="minorHAnsi"/>
          <w:color w:val="202122"/>
          <w:shd w:val="clear" w:color="auto" w:fill="FFFFFF"/>
        </w:rPr>
        <w:t>,</w:t>
      </w:r>
      <w:r w:rsidRPr="00A017CB">
        <w:rPr>
          <w:rFonts w:cstheme="minorHAnsi"/>
          <w:color w:val="202122"/>
          <w:shd w:val="clear" w:color="auto" w:fill="FFFFFF"/>
        </w:rPr>
        <w:t xml:space="preserve"> </w:t>
      </w:r>
      <w:r>
        <w:t>juvenile</w:t>
      </w:r>
      <w:r w:rsidR="009056D1">
        <w:t xml:space="preserve"> pink salmon</w:t>
      </w:r>
      <w:r>
        <w:t xml:space="preserve"> immediately </w:t>
      </w:r>
      <w:r w:rsidRPr="00CD14B8">
        <w:t xml:space="preserve">enter the </w:t>
      </w:r>
      <w:r w:rsidRPr="00CD14B8">
        <w:lastRenderedPageBreak/>
        <w:t>ocean</w:t>
      </w:r>
      <w:r w:rsidR="008D1BFB">
        <w:t xml:space="preserve"> in spring</w:t>
      </w:r>
      <w:r w:rsidRPr="00CD14B8">
        <w:t xml:space="preserve">, </w:t>
      </w:r>
      <w:r w:rsidR="008D1BFB">
        <w:t>making no use of freshwater as rearing habitat. A</w:t>
      </w:r>
      <w:r>
        <w:t xml:space="preserve">ll members of </w:t>
      </w:r>
      <w:r w:rsidR="008D1BFB">
        <w:t xml:space="preserve">the brood then </w:t>
      </w:r>
      <w:r w:rsidRPr="00CD14B8">
        <w:t>return to spawn</w:t>
      </w:r>
      <w:r>
        <w:t xml:space="preserve"> </w:t>
      </w:r>
      <w:r w:rsidR="004A1DBD">
        <w:t xml:space="preserve">in autumn of </w:t>
      </w:r>
      <w:r>
        <w:t xml:space="preserve">the following </w:t>
      </w:r>
      <w:r w:rsidR="004A1DBD">
        <w:t>year</w:t>
      </w:r>
      <w:r>
        <w:t xml:space="preserve"> at two years of age</w:t>
      </w:r>
      <w:r w:rsidRPr="00CD14B8">
        <w:t xml:space="preserve">. This leads to two genetically distinct runs </w:t>
      </w:r>
      <w:r>
        <w:t xml:space="preserve">of salmon inhabiting the same stream </w:t>
      </w:r>
      <w:r w:rsidRPr="00CD14B8">
        <w:t>in even numbered and odd numbered years</w:t>
      </w:r>
      <w:r w:rsidR="008D1BFB">
        <w:t xml:space="preserve"> (Quinn 2018)</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t xml:space="preserve">year pink salmon </w:t>
      </w:r>
      <w:r>
        <w:t>r</w:t>
      </w:r>
      <w:r w:rsidRPr="00CD14B8">
        <w:t>uns that are approximately equal in abundance</w:t>
      </w:r>
      <w:r>
        <w:t xml:space="preserve"> (Alaska Department of Fish and Game 2024a)</w:t>
      </w:r>
      <w:r w:rsidRPr="00CD14B8">
        <w:t>.</w:t>
      </w:r>
    </w:p>
    <w:p w14:paraId="0CDB0A55" w14:textId="54D420C0" w:rsidR="00670218" w:rsidRDefault="00670218" w:rsidP="00A017CB">
      <w:pPr>
        <w:spacing w:after="0" w:line="480" w:lineRule="auto"/>
        <w:ind w:firstLine="36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 xml:space="preserve">regularly exceeding 100,000 fish annually (Stopha 2015). High abundances of salmon are concerning to park managers because, particularly when occurring at the same time as low in-stream flows, high fish densities can impact the Indian River’s ability to sustain other resident fish species by crashing in-stream dissolved oxygen concentrations (Sergeant et al. 2023). High salmon densities are a naturally occurring phenomenon across the Pacific Rim, and incidences of high densities leading to low egg to fry survival and reduced recruitment or contributing to depleted in stream oxygen levels have been recorded </w:t>
      </w:r>
      <w:r w:rsidR="00E47684">
        <w:t xml:space="preserve">throughout southeast Alaska </w:t>
      </w:r>
      <w:r>
        <w:t xml:space="preserve">(Sergeant et al. 2017, Tillotson and Quinn 2017). </w:t>
      </w:r>
    </w:p>
    <w:p w14:paraId="012C3E04" w14:textId="4B4249E4" w:rsidR="00670218" w:rsidRDefault="00670218" w:rsidP="00A017CB">
      <w:pPr>
        <w:spacing w:after="0" w:line="480" w:lineRule="auto"/>
        <w:ind w:firstLine="360"/>
      </w:pPr>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w:t>
      </w:r>
      <w:r>
        <w:lastRenderedPageBreak/>
        <w:t xml:space="preserve">established in 1975 by Sheldon Jackson College (Stopha 2015). The college, </w:t>
      </w:r>
      <w:r w:rsidR="009A59EE">
        <w:t>initially “laid out as a kind of utopian experiment in assimilating Natives into ‘civilized’ Christian living”</w:t>
      </w:r>
      <w:r>
        <w:t xml:space="preserve">, was at its 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This water is used to rear salmon fry, which imprint on its distinct chemical signature</w:t>
      </w:r>
      <w:r>
        <w:t>, and also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9A59EE">
        <w:t xml:space="preserve">At its inception the hatchery was permitted to propagate 1 million pink salmon eggs each year, a number that was increased </w:t>
      </w:r>
      <w:r>
        <w:t>to 3 million eggs</w:t>
      </w:r>
      <w:r w:rsidR="009A59EE">
        <w:t xml:space="preserve"> in 2010, m</w:t>
      </w:r>
      <w:r>
        <w:t>ost of which survive and are released as fry to the ocean</w:t>
      </w:r>
      <w:r w:rsidR="009A59EE">
        <w:t>.</w:t>
      </w:r>
      <w:r>
        <w:t xml:space="preserve"> While these eggs are 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(Stopha 2</w:t>
      </w:r>
      <w:r w:rsidR="0087408B">
        <w:t>01</w:t>
      </w:r>
      <w:r>
        <w:t>5).</w:t>
      </w:r>
    </w:p>
    <w:p w14:paraId="3F008B98" w14:textId="247AB298" w:rsidR="00670218" w:rsidRDefault="00670218" w:rsidP="00A017CB">
      <w:pPr>
        <w:spacing w:after="0" w:line="480" w:lineRule="auto"/>
        <w:ind w:firstLine="360"/>
      </w:pPr>
      <w:r>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xml:space="preserve">.  However, homing by salmon isn’t perfect, and in fact is likely an evolved trait that allows fish to colonize new habitats when they become suitable for spawning (Quinn 2018).  Straying, whereby a juvenile salmon that was produced in one stream (or hatchery) strays into a different stream as an 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w:t>
      </w:r>
      <w:r>
        <w:lastRenderedPageBreak/>
        <w:t>levels of straying due to the proximity of SJH and the hatchery fish being reared in Indian River water</w:t>
      </w:r>
      <w:r w:rsidR="00F8072F">
        <w:t xml:space="preserve"> (Figure </w:t>
      </w:r>
      <w:r w:rsidR="00A368FA">
        <w:t>1</w:t>
      </w:r>
      <w:r w:rsidR="00F8072F">
        <w:t>)</w:t>
      </w:r>
      <w:r>
        <w:t xml:space="preserve">. Hatchery-origin fish at Indian River can be distinguished from natural-origin fish because all pink salmon released by the hatchery are subject to a process called otolith marking, in which small carbonate bodies located in the inner ‘ears’ of 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(Stopha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7CF7FB77" w14:textId="57244B80" w:rsidR="007F5330" w:rsidRDefault="00A368FA" w:rsidP="00DA70F0">
      <w:pPr>
        <w:spacing w:after="0" w:line="480" w:lineRule="auto"/>
        <w:ind w:firstLine="36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conducts regular monitoring of pink salmon ‘index streams’ throughout southeast Alaska for the primary purpose of managing the commercial fishery (index streams being specifically selected to reflect natural conditions and a lack of undue anthropogenic influences). This extensive monitoring effort provides a regional backdrop against which abundances observed at Indian </w:t>
      </w:r>
      <w:r>
        <w:lastRenderedPageBreak/>
        <w:t xml:space="preserve">River may be compared. </w:t>
      </w:r>
      <w:r w:rsidR="007F5330">
        <w:t xml:space="preserve">Between 1960 and 2023, pink salmon escapement has increased throughout what ADFG designates as the ‘Northern Southeast (Outside)’ region (in which the Indian River is located). The agency has recorded peak pink salmon escapement annually at 35 index streams in this region, as well as at Indian River, albeit with gaps in the time series. Along with other streams in the region, Indian River has seen an increase in peak escapement over the period of observation (Figure 2). However, this data alone does not provide sufficient evidence to conclude whether and to what extent Sheldon Jackson Hatchery has influenced pink salmon abundance at Indian River. </w:t>
      </w:r>
      <w:r w:rsidR="00DF38BD">
        <w:t xml:space="preserve">Understanding whether pink salmon at Indian River exist within a natural range of variation requires parsing this context. </w:t>
      </w:r>
      <w:r w:rsidR="007F5330">
        <w:t xml:space="preserve"> </w:t>
      </w:r>
    </w:p>
    <w:p w14:paraId="2AB6F4F6" w14:textId="48CD7686" w:rsidR="00BD7B83" w:rsidRDefault="00BD7B83" w:rsidP="002D76A3">
      <w:pPr>
        <w:spacing w:after="0" w:line="480" w:lineRule="auto"/>
      </w:pPr>
      <w:r>
        <w:tab/>
        <w:t xml:space="preserve">This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the increased abundances observed since 1980. If Indian River pink salmon abundances do not exist within a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 If the commencement (or 2010 expansion) of hatchery operations has significantly increased pink salmon population densities at Indian River, then this effect could be observed by specifying a model of hatchery operations which controls for both the effect of time period (pre- and post-commencement of operations) and the effect of treatment (considering Indian River the treated group). Finally, the impact of hatchery releases on Indian River abundances may be </w:t>
      </w:r>
      <w:r>
        <w:lastRenderedPageBreak/>
        <w:t>evaluated by specifying a model which allows for both peak escapement and hatchery releases in the previous brood year to influence the number of pink salmon returning to Indian River to 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p>
    <w:p w14:paraId="0016F865" w14:textId="77777777" w:rsidR="00670218" w:rsidRPr="000D7F29" w:rsidRDefault="00670218" w:rsidP="00612D9D">
      <w:pPr>
        <w:pStyle w:val="ListParagraph"/>
        <w:spacing w:after="0" w:line="480" w:lineRule="auto"/>
        <w:ind w:left="360"/>
        <w:rPr>
          <w:b/>
          <w:bCs/>
        </w:rPr>
      </w:pPr>
    </w:p>
    <w:p w14:paraId="0C43F25E" w14:textId="77777777" w:rsidR="00670218" w:rsidRDefault="00670218" w:rsidP="00A017CB">
      <w:pPr>
        <w:spacing w:after="0" w:line="480" w:lineRule="auto"/>
        <w:rPr>
          <w:b/>
          <w:bCs/>
          <w:u w:val="single"/>
        </w:rPr>
      </w:pPr>
      <w:r w:rsidRPr="00A017CB">
        <w:rPr>
          <w:b/>
          <w:bCs/>
          <w:u w:val="single"/>
        </w:rPr>
        <w:t>Methods</w:t>
      </w:r>
    </w:p>
    <w:p w14:paraId="6C5B3A0B" w14:textId="16916C3C" w:rsidR="00C64BF8" w:rsidRPr="00C64BF8" w:rsidRDefault="00C64BF8" w:rsidP="00A017CB">
      <w:pPr>
        <w:spacing w:after="0" w:line="480" w:lineRule="auto"/>
        <w:rPr>
          <w:b/>
          <w:bCs/>
        </w:rPr>
      </w:pPr>
      <w:r w:rsidRPr="00C64BF8">
        <w:rPr>
          <w:b/>
          <w:bCs/>
        </w:rPr>
        <w:t>Data</w:t>
      </w:r>
    </w:p>
    <w:p w14:paraId="31C0E635" w14:textId="52E0369E" w:rsidR="00670218" w:rsidRDefault="00670218" w:rsidP="00A017CB">
      <w:pPr>
        <w:spacing w:after="0" w:line="480" w:lineRule="auto"/>
      </w:pPr>
      <w:r>
        <w:t xml:space="preserve">ADFG conducts annual aerial surveys of approximately 700 streams in southeast Alaska to monitor pink salmon escapement commercial fisheries management (Van Alen 2000).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 (A. Dupuis, ADFG, personal communication, August 19, 2024). </w:t>
      </w:r>
      <w:r w:rsidR="007C46E2">
        <w:t>In addition to these aerial surveys, SJH files annual reports with ADFG</w:t>
      </w:r>
      <w:r w:rsidR="007C46E2" w:rsidRPr="007C46E2">
        <w:t xml:space="preserve"> </w:t>
      </w:r>
      <w:r w:rsidR="007C46E2">
        <w:t>which include</w:t>
      </w:r>
      <w:r w:rsidR="007C46E2" w:rsidRPr="007C46E2">
        <w:t xml:space="preserve"> the number of salmon juveniles reared and released, the number of </w:t>
      </w:r>
      <w:r w:rsidR="007C46E2" w:rsidRPr="007C46E2">
        <w:lastRenderedPageBreak/>
        <w:t>hatchery-raised adult salmon which survive the marine environment, the hatchery’s contributions to common property commercial fisheries (as well as sport and subsistence fisheries), and numbers of adult fish which return to the hatchery and are taken as cost recovery or as broodstock</w:t>
      </w:r>
      <w:r w:rsidR="007C003B">
        <w:t xml:space="preserve"> (L. Wilson, ADFG, personal communication, July 9, 2025)</w:t>
      </w:r>
      <w:r w:rsidR="007C46E2" w:rsidRPr="007C46E2">
        <w:t>.</w:t>
      </w:r>
    </w:p>
    <w:p w14:paraId="6730D5E4" w14:textId="0FEB8577" w:rsidR="004A1DBD" w:rsidRDefault="003542B1" w:rsidP="00246989">
      <w:pPr>
        <w:spacing w:after="0" w:line="480" w:lineRule="auto"/>
        <w:ind w:firstLine="360"/>
      </w:pPr>
      <w:r>
        <w:t>Due to their life history</w:t>
      </w:r>
      <w:r w:rsidR="00B96F76">
        <w:t xml:space="preserve"> of immediately migrating into the ocean as juveniles</w:t>
      </w:r>
      <w:r>
        <w:t xml:space="preserve">, </w:t>
      </w:r>
      <w:r w:rsidR="008D1BFB">
        <w:t xml:space="preserve">the </w:t>
      </w:r>
      <w:r w:rsidR="00B96F76">
        <w:t>marine environment</w:t>
      </w:r>
      <w:r w:rsidR="008D1BFB">
        <w:t xml:space="preserve"> </w:t>
      </w:r>
      <w:r>
        <w:t xml:space="preserve">is </w:t>
      </w:r>
      <w:r w:rsidR="008D1BFB">
        <w:t xml:space="preserve">critical rearing habitat </w:t>
      </w:r>
      <w:r>
        <w:t>for pink salmon</w:t>
      </w:r>
      <w:r w:rsidR="006178EC">
        <w:t xml:space="preserve"> (</w:t>
      </w:r>
      <w:r w:rsidR="00723599">
        <w:t xml:space="preserve">Heard 1991). </w:t>
      </w:r>
      <w:r w:rsidR="000A0753">
        <w:t>Therefore, i</w:t>
      </w:r>
      <w:r w:rsidR="00B96F76">
        <w:t xml:space="preserve">ncluding </w:t>
      </w:r>
      <w:r w:rsidR="000A0753">
        <w:t>some</w:t>
      </w:r>
      <w:r w:rsidR="00B96F76">
        <w:t xml:space="preserve"> measure</w:t>
      </w:r>
      <w:r w:rsidR="008D1BFB">
        <w:t xml:space="preserve"> </w:t>
      </w:r>
      <w:r w:rsidR="00B96F76">
        <w:t>of ocean climate</w:t>
      </w:r>
      <w:r w:rsidR="000A0753">
        <w:t xml:space="preserve"> and productivity</w:t>
      </w:r>
      <w:r w:rsidR="00B96F76">
        <w:t xml:space="preserve"> in models of pink salmon abundance </w:t>
      </w:r>
      <w:r w:rsidR="000A0753">
        <w:t>may go a long way towards explaining year-to-year variations in returning adults. The Pacific Decadal Oscillation, a recurring pattern of Northen Pacific sea surface temperature, has been shown to be robustly correlated with salmon production regimes off the coast of Alaska</w:t>
      </w:r>
      <w:r w:rsidR="00F26C13">
        <w:t xml:space="preserve"> (Mantua et al. 1997). As such, this research leverages data on ocean climate in the form of PDO as recorded by the US National Oceanic and Atmospheric Administration (NOAA).  </w:t>
      </w:r>
    </w:p>
    <w:p w14:paraId="4E0CE35B" w14:textId="1E19B084" w:rsidR="00F26C13" w:rsidRDefault="004327DF" w:rsidP="00A017CB">
      <w:pPr>
        <w:spacing w:after="0" w:line="480" w:lineRule="auto"/>
        <w:ind w:firstLine="360"/>
      </w:pPr>
      <w:r>
        <w:t xml:space="preserve">Survey data used in this study covers the period from 1960 to 2023. </w:t>
      </w:r>
      <w:r w:rsidR="00670218">
        <w:t>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w:t>
      </w:r>
      <w:r w:rsidR="00097C72">
        <w:t>3</w:t>
      </w:r>
      <w:r w:rsidR="00670218">
        <w:t xml:space="preserve"> (n = </w:t>
      </w:r>
      <w:r w:rsidR="00097C72">
        <w:t>54</w:t>
      </w:r>
      <w:r w:rsidR="00670218">
        <w:t xml:space="preserve"> annual observations). </w:t>
      </w:r>
      <w:r w:rsidR="007C46E2">
        <w:t>Annual reports from Sheldon Jackson Hatchery</w:t>
      </w:r>
      <w:r w:rsidR="00223722">
        <w:t xml:space="preserve"> are available from 1975 onwards, commensurate with the </w:t>
      </w:r>
      <w:r w:rsidR="0087213E">
        <w:t xml:space="preserve">establishment of the </w:t>
      </w:r>
      <w:r w:rsidR="00223722">
        <w:t>hatchery.</w:t>
      </w:r>
      <w:r w:rsidR="00F26C13">
        <w:t xml:space="preserve"> </w:t>
      </w:r>
      <w:r w:rsidR="00321B88">
        <w:t>NOAA PDO data included in this research likewise covers the period from 1960 to 2023.</w:t>
      </w:r>
    </w:p>
    <w:p w14:paraId="41E95660" w14:textId="77777777" w:rsidR="00143CB9" w:rsidRPr="00C64BF8" w:rsidRDefault="00143CB9" w:rsidP="00246989">
      <w:pPr>
        <w:spacing w:after="0" w:line="480" w:lineRule="auto"/>
        <w:ind w:firstLine="360"/>
        <w:rPr>
          <w:b/>
          <w:bCs/>
        </w:rPr>
      </w:pPr>
    </w:p>
    <w:p w14:paraId="79048D7D" w14:textId="6F12DE5C" w:rsidR="00670218" w:rsidRPr="00C64BF8" w:rsidRDefault="00670218" w:rsidP="00C64BF8">
      <w:pPr>
        <w:spacing w:after="0" w:line="480" w:lineRule="auto"/>
        <w:rPr>
          <w:b/>
          <w:bCs/>
        </w:rPr>
      </w:pPr>
      <w:r w:rsidRPr="00C64BF8">
        <w:rPr>
          <w:b/>
          <w:bCs/>
        </w:rPr>
        <w:lastRenderedPageBreak/>
        <w:t>MARSS Models</w:t>
      </w:r>
    </w:p>
    <w:p w14:paraId="0C0E330B" w14:textId="26212928" w:rsidR="005C4DB8" w:rsidRDefault="00670218" w:rsidP="00C64BF8">
      <w:pPr>
        <w:spacing w:after="0" w:line="480" w:lineRule="auto"/>
      </w:pPr>
      <w:r>
        <w:t xml:space="preserve">Multivariate autoregressive state-space (MARSS) models are well suited for </w:t>
      </w:r>
      <w:r w:rsidR="00321B88">
        <w:t>analyzing</w:t>
      </w:r>
      <w:r>
        <w:t xml:space="preserve"> long running time series survey </w:t>
      </w:r>
      <w:r w:rsidR="00A017CB">
        <w:t>data and</w:t>
      </w:r>
      <w:r>
        <w:t xml:space="preserve"> </w:t>
      </w:r>
      <w:r w:rsidR="005F6F08">
        <w:t xml:space="preserve">able </w:t>
      </w:r>
      <w:r>
        <w:t xml:space="preserve">to mathematically distinguish observation error from error arising from stochasticity in the underlying state of a system. </w:t>
      </w:r>
      <w:r w:rsidR="005F6F08">
        <w:t xml:space="preserve">This is accomplished through a model structure with two components: a process equation which models one or more true but unobserved states, and an observation equation which models the relationship between these unobserved states and the </w:t>
      </w:r>
      <w:r w:rsidR="00310948">
        <w:t xml:space="preserve">observed </w:t>
      </w:r>
      <w:r w:rsidR="005F6F08">
        <w:t>data</w:t>
      </w:r>
      <w:r w:rsidR="002657D1">
        <w:t xml:space="preserve"> and capture</w:t>
      </w:r>
      <w:r w:rsidR="007C158F">
        <w:t>s</w:t>
      </w:r>
      <w:r w:rsidR="002657D1">
        <w:t xml:space="preserve"> error resulting from imperfect detection</w:t>
      </w:r>
      <w:r w:rsidR="005F6F08">
        <w:t xml:space="preserve">. </w:t>
      </w:r>
      <w:r w:rsidR="005C4DB8">
        <w:t>The observation equation is generically formulated as follows:</w:t>
      </w:r>
    </w:p>
    <w:p w14:paraId="58302FD9" w14:textId="17206674" w:rsidR="005C4DB8" w:rsidRPr="00246989" w:rsidRDefault="005C4DB8"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7C8F46F5" w14:textId="77777777" w:rsidR="002657D1" w:rsidRDefault="005C4DB8" w:rsidP="00C64BF8">
      <w:pPr>
        <w:spacing w:after="0" w:line="480" w:lineRule="auto"/>
      </w:pPr>
      <w:r>
        <w:t>In the above, observed data in a given time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all-time series in the data to represent samples from one comprehensive underlying state.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some degree of offset between the observed data and the underlying state process to be asserted or captured (depending on whether </w:t>
      </w:r>
      <w:r w:rsidRPr="00246989">
        <w:rPr>
          <w:rFonts w:ascii="MathJax_Math-italic" w:eastAsia="Times New Roman" w:hAnsi="MathJax_Math-italic" w:cs="Times New Roman"/>
          <w:b/>
          <w:bCs/>
          <w:kern w:val="0"/>
          <w:sz w:val="26"/>
          <w:szCs w:val="26"/>
          <w:bdr w:val="none" w:sz="0" w:space="0" w:color="auto" w:frame="1"/>
          <w14:ligatures w14:val="none"/>
        </w:rPr>
        <w:t>a</w:t>
      </w:r>
      <w:r>
        <w:t xml:space="preserve"> is specified or estimated), and any correlation in observation error between time series is defined by the off-diagonal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the variance-covariance matrix.</w:t>
      </w:r>
      <w:r w:rsidR="00402DA4">
        <w:t xml:space="preserve">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A43887">
        <w:t xml:space="preserve"> represents covariate data related to the sampling procedure, with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t xml:space="preserve"> capturing the effect of these covariates. </w:t>
      </w:r>
    </w:p>
    <w:p w14:paraId="5D907ED1" w14:textId="5F8CCA55" w:rsidR="00402DA4" w:rsidRDefault="00402DA4" w:rsidP="00246989">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00336763">
        <w:t xml:space="preserve">The process equation connects time steps in state processes </w:t>
      </w:r>
      <w:r w:rsidR="00336763">
        <w:lastRenderedPageBreak/>
        <w:t xml:space="preserve">by estimating terms for both </w:t>
      </w:r>
      <w:r w:rsidR="00336763" w:rsidRPr="00C64BF8">
        <w:rPr>
          <w:rFonts w:ascii="MathJax_Math-italic" w:eastAsia="Times New Roman" w:hAnsi="MathJax_Math-italic" w:cs="Times New Roman"/>
          <w:b/>
          <w:bCs/>
          <w:kern w:val="0"/>
          <w:sz w:val="26"/>
          <w:szCs w:val="26"/>
          <w:bdr w:val="none" w:sz="0" w:space="0" w:color="auto" w:frame="1"/>
          <w14:ligatures w14:val="none"/>
        </w:rPr>
        <w:t>x</w:t>
      </w:r>
      <w:r w:rsidR="00336763"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t xml:space="preserve"> (in conjunction with the observation equation) and </w:t>
      </w:r>
      <w:r w:rsidR="00336763" w:rsidRPr="00344E76">
        <w:rPr>
          <w:rFonts w:ascii="MathJax_Math-italic" w:eastAsia="Times New Roman" w:hAnsi="MathJax_Math-italic" w:cs="Times New Roman"/>
          <w:b/>
          <w:bCs/>
          <w:kern w:val="0"/>
          <w:sz w:val="26"/>
          <w:szCs w:val="26"/>
          <w:bdr w:val="none" w:sz="0" w:space="0" w:color="auto" w:frame="1"/>
          <w14:ligatures w14:val="none"/>
        </w:rPr>
        <w:t>x</w:t>
      </w:r>
      <w:r w:rsidR="00336763"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rsidRPr="00344E76">
        <w:rPr>
          <w:rFonts w:ascii="MathJax_Main" w:eastAsia="Times New Roman" w:hAnsi="MathJax_Main" w:cs="Times New Roman"/>
          <w:b/>
          <w:bCs/>
          <w:kern w:val="0"/>
          <w:sz w:val="26"/>
          <w:szCs w:val="26"/>
          <w:bdr w:val="none" w:sz="0" w:space="0" w:color="auto" w:frame="1"/>
          <w:vertAlign w:val="subscript"/>
          <w14:ligatures w14:val="none"/>
        </w:rPr>
        <w:t>−1</w:t>
      </w:r>
      <w:r w:rsidR="00336763">
        <w:t xml:space="preserve">. The process equation is </w:t>
      </w:r>
      <w:r>
        <w:t xml:space="preserve">formulated as follows: </w:t>
      </w:r>
    </w:p>
    <w:p w14:paraId="6CE5765C" w14:textId="20541856" w:rsidR="00402DA4" w:rsidRPr="00246989" w:rsidRDefault="00402DA4"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A4F4F43" w14:textId="7728E7A2" w:rsidR="00402DA4" w:rsidRDefault="00402DA4" w:rsidP="00246989">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3EB4F13E" w14:textId="312940A4" w:rsidR="00670218" w:rsidRDefault="00402DA4" w:rsidP="00246989">
      <w:pPr>
        <w:spacing w:after="0" w:line="480" w:lineRule="auto"/>
        <w:ind w:firstLine="720"/>
      </w:pPr>
      <w:r>
        <w:t>MARSS models are very</w:t>
      </w:r>
      <w:r w:rsidR="00670218">
        <w:t xml:space="preserve"> useful when parsing data collected by different observers operating in differing conditions (weather, time of day, time of year, etc.), where those conditions </w:t>
      </w:r>
      <w:r w:rsidR="001F775B">
        <w:t>could potentially</w:t>
      </w:r>
      <w:r w:rsidR="00670218">
        <w:t xml:space="preserve"> bias the observations being made. Furthermore, MARSS models allow for gaps in the observed time series, like those present in the Indian River data, while retaining the ability to make inferences about the underlying state (Holmes et al. 2012</w:t>
      </w:r>
      <w:r w:rsidR="00310948">
        <w:t>, Scheuerell et al. 2015</w:t>
      </w:r>
      <w:r w:rsidR="00670218">
        <w:t xml:space="preserve">).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43A5FE48" w14:textId="7A12324E" w:rsidR="00EF0488" w:rsidRDefault="00EF0488" w:rsidP="00EF0488">
      <w:pPr>
        <w:spacing w:after="0" w:line="480" w:lineRule="auto"/>
      </w:pPr>
      <w:r>
        <w:t>The first stage of this research attempt</w:t>
      </w:r>
      <w:r w:rsidR="007C003B">
        <w:t>s</w:t>
      </w:r>
      <w:r>
        <w:t xml:space="preserve"> to assess whether abundances of pink salmon observed at Indian River are consistent with those abundances seen elsewhere in the region, with no attention paid to the existence of the hatchery. This is accomplished by specifying two separate MARSS models of pink salmon abundance at Indian River and the surrounding region. The first estimates two underlying state processes, treating the underlying state of Indian River pink </w:t>
      </w:r>
      <w:r>
        <w:lastRenderedPageBreak/>
        <w:t xml:space="preserve">salmon abundance separately from that of the wider region. The second uses all available data (abundance observations from Indian River and ADFG’s 35 </w:t>
      </w:r>
      <w:r w:rsidRPr="003C6E79">
        <w:rPr>
          <w:i/>
          <w:iCs/>
        </w:rPr>
        <w:t>north southeast (outside)</w:t>
      </w:r>
      <w:r>
        <w:t xml:space="preserve"> index streams) to estimate one underlying state process of pink salmon abundance throughout the region. A comparison of how well each model fits the abundance data will either lend support to or undermine the notion that Indian River pink salmon abundances significantly differ from those observed elsewhere in the region throughout the study period. </w:t>
      </w:r>
    </w:p>
    <w:p w14:paraId="202321FB" w14:textId="71A7405B" w:rsidR="00670218" w:rsidRDefault="00FC2324" w:rsidP="00246989">
      <w:pPr>
        <w:spacing w:after="0" w:line="480" w:lineRule="auto"/>
        <w:ind w:firstLine="720"/>
      </w:pPr>
      <w:r>
        <w:t xml:space="preserve">Data is standardized at the stream level so that streams of varying available pink salmon habitat may be directly compared. </w:t>
      </w:r>
      <w:r w:rsidR="00670218">
        <w:t xml:space="preserve">These models include covariate controls for ocean climate and the observer of record for each time series observation (in </w:t>
      </w:r>
      <w:r w:rsidR="00670218" w:rsidRPr="003C6E79">
        <w:rPr>
          <w:i/>
          <w:iCs/>
        </w:rPr>
        <w:t>north southeast (outside)</w:t>
      </w:r>
      <w:r w:rsidR="00670218">
        <w:t xml:space="preserve"> index streams</w:t>
      </w:r>
      <w:r w:rsidR="007C003B">
        <w:t>,</w:t>
      </w:r>
      <w:r w:rsidR="00670218">
        <w:t xml:space="preserve"> the observer was recorded in 77% of observations, with the rest being assigned an unknown observer). The specification of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is of particular importance to this work, as it defines</w:t>
      </w:r>
      <w:r w:rsidR="00391B74">
        <w:t xml:space="preserve"> the number of underlying state processes a model estimates. A </w:t>
      </w:r>
      <w:r w:rsidR="00670218">
        <w:t>36</w:t>
      </w:r>
      <w:r w:rsidR="00391B74">
        <w:t xml:space="preserve"> </w:t>
      </w:r>
      <w:r w:rsidR="00670218">
        <w:t>x</w:t>
      </w:r>
      <w:r w:rsidR="00391B74">
        <w:t xml:space="preserve"> </w:t>
      </w:r>
      <w:r w:rsidR="00670218">
        <w:t xml:space="preserve">2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matrix</w:t>
      </w:r>
      <w:r w:rsidR="00391B74">
        <w:t xml:space="preserve"> defines two underlying states being represented by 36 observations</w:t>
      </w:r>
      <w:r w:rsidR="00670218">
        <w:t xml:space="preserve">, </w:t>
      </w:r>
      <w:r w:rsidR="00391B74">
        <w:t xml:space="preserve">and </w:t>
      </w:r>
      <w:r w:rsidR="00246989">
        <w:t xml:space="preserve">may </w:t>
      </w:r>
      <w:r w:rsidR="00391B74">
        <w:t xml:space="preserve">be written to </w:t>
      </w:r>
      <w:r w:rsidR="00670218">
        <w:t>selec</w:t>
      </w:r>
      <w:r w:rsidR="00391B74">
        <w:t>t</w:t>
      </w:r>
      <w:r w:rsidR="00670218">
        <w:t xml:space="preserve"> the Indian River as representative of one state and all other streams in the sub-region as representative of a second state. </w:t>
      </w:r>
      <w:r w:rsidR="007C003B">
        <w:t>To</w:t>
      </w:r>
      <w:r w:rsidR="00391B74">
        <w:t xml:space="preserve"> specify a model in which all observations are representative of a single underlying state, </w:t>
      </w:r>
      <w:r w:rsidR="00391B74" w:rsidRPr="00C64BF8">
        <w:rPr>
          <w:rFonts w:ascii="MathJax_Math-italic" w:eastAsia="Times New Roman" w:hAnsi="MathJax_Math-italic" w:cs="Times New Roman"/>
          <w:b/>
          <w:bCs/>
          <w:kern w:val="0"/>
          <w:sz w:val="26"/>
          <w:szCs w:val="26"/>
          <w:bdr w:val="none" w:sz="0" w:space="0" w:color="auto" w:frame="1"/>
          <w14:ligatures w14:val="none"/>
        </w:rPr>
        <w:t>Z</w:t>
      </w:r>
      <w:r w:rsidR="00391B74">
        <w:t xml:space="preserve"> is defined as a 36 x 1</w:t>
      </w:r>
      <w:r w:rsidR="00E82478">
        <w:t xml:space="preserve"> column</w:t>
      </w:r>
      <w:r w:rsidR="00391B74">
        <w:t xml:space="preserve"> vector </w:t>
      </w:r>
      <w:r w:rsidR="00E82478">
        <w:t>of 1’s.</w:t>
      </w:r>
      <w:r w:rsidR="00391B74">
        <w:t xml:space="preserve"> </w:t>
      </w:r>
      <w:r w:rsidR="00670218">
        <w:t xml:space="preserve">No </w:t>
      </w:r>
      <w:r w:rsidR="00391B74">
        <w:t xml:space="preserve">offset is </w:t>
      </w:r>
      <w:r w:rsidR="00670218">
        <w:t>estimated for the observation process, but the model allows for distinct trends in both underlying states. Covariate data relating to observers (</w:t>
      </w:r>
      <w:r w:rsidR="00670218" w:rsidRPr="00C64BF8">
        <w:rPr>
          <w:rFonts w:ascii="MathJax_Math-italic" w:eastAsia="Times New Roman" w:hAnsi="MathJax_Math-italic" w:cs="Times New Roman"/>
          <w:b/>
          <w:bCs/>
          <w:kern w:val="0"/>
          <w:sz w:val="26"/>
          <w:szCs w:val="26"/>
          <w:bdr w:val="none" w:sz="0" w:space="0" w:color="auto" w:frame="1"/>
          <w14:ligatures w14:val="none"/>
        </w:rPr>
        <w:t>d</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and </w:t>
      </w:r>
      <w:r w:rsidR="00376A4E">
        <w:t xml:space="preserve">the prior year’s </w:t>
      </w:r>
      <w:r w:rsidR="00670218">
        <w:t>ocean climate</w:t>
      </w:r>
      <w:r w:rsidR="007B55B0">
        <w:t xml:space="preserve"> via lagged PDO</w:t>
      </w:r>
      <w:r w:rsidR="00670218">
        <w:t xml:space="preserve"> (</w:t>
      </w:r>
      <w:r w:rsidR="00670218" w:rsidRPr="00C64BF8">
        <w:rPr>
          <w:rFonts w:ascii="MathJax_Math-italic" w:eastAsia="Times New Roman" w:hAnsi="MathJax_Math-italic" w:cs="Times New Roman"/>
          <w:b/>
          <w:bCs/>
          <w:kern w:val="0"/>
          <w:sz w:val="26"/>
          <w:szCs w:val="26"/>
          <w:bdr w:val="none" w:sz="0" w:space="0" w:color="auto" w:frame="1"/>
          <w14:ligatures w14:val="none"/>
        </w:rPr>
        <w:t>c</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are included, resulting in the model described below. </w:t>
      </w:r>
    </w:p>
    <w:p w14:paraId="3E1F7F7D" w14:textId="707E42EE"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6C4D2233"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2C2328D8" w14:textId="1E7B3B00" w:rsidR="009D55B2" w:rsidRDefault="003C6E79" w:rsidP="003C6E79">
      <w:pPr>
        <w:spacing w:after="0" w:line="480" w:lineRule="auto"/>
        <w:ind w:firstLine="720"/>
      </w:pPr>
      <w:r>
        <w:lastRenderedPageBreak/>
        <w:t xml:space="preserve">Once fitted, this model estimates </w:t>
      </w:r>
      <w:r w:rsidR="00E82478">
        <w:t xml:space="preserve">either one or </w:t>
      </w:r>
      <w:r>
        <w:t>two</w:t>
      </w:r>
      <w:r w:rsidR="00E82478">
        <w:t xml:space="preserve"> </w:t>
      </w:r>
      <w:r>
        <w:t xml:space="preserve">underlying </w:t>
      </w:r>
      <w:r w:rsidR="00E82478">
        <w:t xml:space="preserve">state processes </w:t>
      </w:r>
      <w:r>
        <w:t xml:space="preserve">of pink salmon abundance, </w:t>
      </w:r>
      <w:r w:rsidR="00E82478">
        <w:t xml:space="preserve">depending on the specification of </w:t>
      </w:r>
      <w:r w:rsidR="00E82478" w:rsidRPr="00C64BF8">
        <w:rPr>
          <w:rFonts w:ascii="MathJax_Math-italic" w:eastAsia="Times New Roman" w:hAnsi="MathJax_Math-italic" w:cs="Times New Roman"/>
          <w:b/>
          <w:bCs/>
          <w:kern w:val="0"/>
          <w:sz w:val="26"/>
          <w:szCs w:val="26"/>
          <w:bdr w:val="none" w:sz="0" w:space="0" w:color="auto" w:frame="1"/>
          <w14:ligatures w14:val="none"/>
        </w:rPr>
        <w:t>Z</w:t>
      </w:r>
      <w:r w:rsidR="00E82478">
        <w:t xml:space="preserve">. In the two state model, </w:t>
      </w:r>
      <w:r>
        <w:t>one</w:t>
      </w:r>
      <w:r w:rsidR="00E82478">
        <w:t xml:space="preserve"> state</w:t>
      </w:r>
      <w:r>
        <w:t xml:space="preserve"> </w:t>
      </w:r>
      <w:r w:rsidR="007C003B">
        <w:t>represents</w:t>
      </w:r>
      <w:r>
        <w:t xml:space="preserve"> Indian River</w:t>
      </w:r>
      <w:r w:rsidR="007C003B">
        <w:t>,</w:t>
      </w:r>
      <w:r>
        <w:t xml:space="preserve"> </w:t>
      </w:r>
      <w:r w:rsidR="00E82478">
        <w:t>while</w:t>
      </w:r>
      <w:r>
        <w:t xml:space="preserve"> the other represent</w:t>
      </w:r>
      <w:r w:rsidR="00E82478">
        <w:t>s</w:t>
      </w:r>
      <w:r>
        <w:t xml:space="preserve"> a regional average state of pink salmon abundance in index streams (recall that index streams are selected by ADFG due to their not being heavily influenced by human activity). </w:t>
      </w:r>
      <w:r w:rsidR="00931642">
        <w:t>T</w:t>
      </w:r>
      <w:r w:rsidR="007C003B">
        <w:t>hese separate model specifications are compared for</w:t>
      </w:r>
      <w:r w:rsidR="00931642">
        <w:t xml:space="preserve"> goodness of</w:t>
      </w:r>
      <w:r w:rsidR="007C003B">
        <w:t xml:space="preserve"> fit using AICc</w:t>
      </w:r>
      <w:r w:rsidR="00931642">
        <w:t xml:space="preserve">, a criterion which </w:t>
      </w:r>
      <w:r w:rsidR="00097C72">
        <w:t>is well suited for evaluating models fitted on relatively sparse data (i.e., the small number of observations at Indian River) (Burnham et al. 2010)</w:t>
      </w:r>
      <w:r w:rsidR="00931642">
        <w:t>.</w:t>
      </w:r>
      <w:r w:rsidR="007C003B">
        <w:t xml:space="preserve"> </w:t>
      </w:r>
      <w:r w:rsidR="00E82478">
        <w:t xml:space="preserve"> </w:t>
      </w:r>
    </w:p>
    <w:p w14:paraId="597B7B49" w14:textId="6BFF4266" w:rsidR="006E6B42" w:rsidRDefault="006E6B42" w:rsidP="006E6B42">
      <w:pPr>
        <w:spacing w:after="0" w:line="480" w:lineRule="auto"/>
      </w:pPr>
      <w:r>
        <w:tab/>
        <w:t xml:space="preserve">The above description of an approach comparing a one-state model to a two-state model as a means of determining whether pink salmon abundances at Indian River substantially differ from those observed elsewhere in the reason is made additionally complicated by the life history of pink salmon leading to the existence of genetically distinct populations in the same stream in even- and odd-year runs. This means that, in order to evaluate whether abundances at Indian River are exhibiting behaviors atypical of an equivalent pink salmon stream in the region, there are four models that must be fit. The first is the equivalent of the abstract two-state model, where for each run (even and odd) the underlying state process of pink salmon at Indian River is estimated separately from the underlying state of the wider region, meaning the model estimates four state processes total. Next, the equivalent of the abstract one-state model is specified such that, for each run, all 35 index streams and Indian River are treated as representative of one underlying state, leading to the model estimating two state processes total. There </w:t>
      </w:r>
      <w:r w:rsidR="006002FE">
        <w:t>are</w:t>
      </w:r>
      <w:r>
        <w:t xml:space="preserve"> two other important cases to consider. What if, due to some variation in the underlying genetics of each run, that odd-year runs at Indian River exhibit substantial variation </w:t>
      </w:r>
      <w:r>
        <w:lastRenderedPageBreak/>
        <w:t>in annual abundance from those of streams in the wider region, while even-runs at Indian River generally fall within the region’s natural range of variation, or vice versa? To evaluate these cases, two three-state models are specified, in which Indian River abundance is estimated separately for one run, while the other is included as part of the regional underlying state. Evaluation of model fit using AICc then determines which of these model structures most closely fits the observed data.</w:t>
      </w:r>
    </w:p>
    <w:p w14:paraId="24677741" w14:textId="77777777" w:rsidR="00670218" w:rsidRDefault="00670218" w:rsidP="00612D9D">
      <w:pPr>
        <w:pStyle w:val="ListParagraph"/>
        <w:spacing w:after="0" w:line="480" w:lineRule="auto"/>
        <w:ind w:left="360"/>
      </w:pPr>
    </w:p>
    <w:p w14:paraId="5AC12240" w14:textId="77777777" w:rsidR="00060EB8" w:rsidRPr="00C64BF8" w:rsidRDefault="00060EB8" w:rsidP="00060EB8">
      <w:pPr>
        <w:spacing w:after="0" w:line="480" w:lineRule="auto"/>
        <w:rPr>
          <w:b/>
          <w:bCs/>
        </w:rPr>
      </w:pPr>
      <w:r w:rsidRPr="00C64BF8">
        <w:rPr>
          <w:b/>
          <w:bCs/>
        </w:rPr>
        <w:t>Effect of Hatchery Operations</w:t>
      </w:r>
    </w:p>
    <w:p w14:paraId="3E4BDDD2" w14:textId="77777777" w:rsidR="00060EB8" w:rsidRDefault="00060EB8" w:rsidP="00060EB8">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7F89A2B1" w14:textId="7D02F288" w:rsidR="00060EB8" w:rsidRDefault="00060EB8" w:rsidP="00060EB8">
      <w:pPr>
        <w:spacing w:after="0" w:line="480" w:lineRule="auto"/>
        <w:ind w:firstLine="720"/>
      </w:pPr>
      <w:r>
        <w:t>This research seeks to take advantage of these distinct time periods by utilizing a difference-in-difference (DD) framework. This quasi-experimental approach</w:t>
      </w:r>
      <w:r w:rsidR="00597FAB">
        <w:t xml:space="preserve"> is</w:t>
      </w:r>
      <w:r w:rsidR="0096153E">
        <w:t xml:space="preserve"> </w:t>
      </w:r>
      <w:r>
        <w:t xml:space="preserve">designed to assess the </w:t>
      </w:r>
      <w:r w:rsidR="00597FAB">
        <w:t>effect</w:t>
      </w:r>
      <w:r>
        <w:t xml:space="preserve"> of </w:t>
      </w:r>
      <w:r w:rsidR="00597FAB">
        <w:t>a treatment</w:t>
      </w:r>
      <w:r>
        <w:t xml:space="preserve"> (in this case the operations of SJH) on an outcome of interest (pink salmon abundance at Indian River)</w:t>
      </w:r>
      <w:r w:rsidR="00597FAB">
        <w:t>, and is commonly employed</w:t>
      </w:r>
      <w:r w:rsidR="0096153E">
        <w:t xml:space="preserve"> when </w:t>
      </w:r>
      <w:r w:rsidR="00597FAB">
        <w:t>evaluating</w:t>
      </w:r>
      <w:r w:rsidR="0096153E">
        <w:t xml:space="preserve"> the impact of </w:t>
      </w:r>
      <w:r w:rsidR="00597FAB">
        <w:t>an anthropogenic interventions</w:t>
      </w:r>
      <w:r w:rsidR="0096153E">
        <w:t xml:space="preserve"> on wild salmonid populations</w:t>
      </w:r>
      <w:r w:rsidR="00AC48BB">
        <w:t xml:space="preserve"> (</w:t>
      </w:r>
      <w:r w:rsidR="00734A33">
        <w:t xml:space="preserve">Levin and Tolimieri </w:t>
      </w:r>
      <w:r w:rsidR="00734A33">
        <w:lastRenderedPageBreak/>
        <w:t xml:space="preserve">2001, </w:t>
      </w:r>
      <w:r w:rsidR="00AC48BB">
        <w:t>Berejikian et al. 2025</w:t>
      </w:r>
      <w:r w:rsidR="00C02ADB">
        <w:t>, Pearsons and Hillman 2025</w:t>
      </w:r>
      <w:r w:rsidR="00AC48BB">
        <w:t>)</w:t>
      </w:r>
      <w:r>
        <w:t>. DD modeling compares a treatment group to a control group across two time periods, pre- and post- intervention. The general structure of a difference-in-difference model is as follows:</w:t>
      </w:r>
    </w:p>
    <w:p w14:paraId="5E336599" w14:textId="77777777" w:rsidR="00060EB8" w:rsidRDefault="00060EB8" w:rsidP="00060EB8">
      <w:pPr>
        <w:spacing w:after="0" w:line="480" w:lineRule="auto"/>
        <w:jc w:val="cente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74CD7DD0" w14:textId="77777777" w:rsidR="00060EB8" w:rsidRDefault="00060EB8" w:rsidP="00060EB8">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known as the parallel trends assumption, is bolstered through the application of event studies which evaluate whether trends in control and treatment groups are mathematically similar in the pre-treatment period (Cunningham 2021).</w:t>
      </w:r>
    </w:p>
    <w:p w14:paraId="3657C420" w14:textId="54B83CAD" w:rsidR="00DF0566" w:rsidRDefault="00060EB8" w:rsidP="00A2387C">
      <w:pPr>
        <w:spacing w:after="0" w:line="480" w:lineRule="auto"/>
        <w:ind w:firstLine="360"/>
      </w:pPr>
      <w:r>
        <w:t xml:space="preserve">This research applies a DD framework to MARSS models </w:t>
      </w:r>
      <w:r w:rsidR="004F779B">
        <w:t>to</w:t>
      </w:r>
      <w:r>
        <w:t xml:space="preserve"> once again control for observation error and to capture the autoregressive behavior of the underlying state processes. </w:t>
      </w:r>
      <w:r>
        <w:lastRenderedPageBreak/>
        <w:t>The indicator variables described above are</w:t>
      </w:r>
      <w:r w:rsidR="004F779B">
        <w:t xml:space="preserve"> represented in the MARSS framework with careful model specification and the</w:t>
      </w:r>
      <w:r>
        <w:t xml:space="preserve"> inclu</w:t>
      </w:r>
      <w:r w:rsidR="004F779B">
        <w:t>sion of</w:t>
      </w:r>
      <w:r>
        <w:t xml:space="preserve"> covariate data in the process equation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w:t>
      </w:r>
      <w:r w:rsidR="004F779B">
        <w:t>,</w:t>
      </w:r>
      <w:r>
        <w:t xml:space="preserve"> with </w:t>
      </w:r>
      <w:r w:rsidRPr="00344E76">
        <w:rPr>
          <w:rFonts w:ascii="MathJax_Math-italic" w:eastAsia="Times New Roman" w:hAnsi="MathJax_Math-italic" w:cs="Times New Roman"/>
          <w:b/>
          <w:bCs/>
          <w:kern w:val="0"/>
          <w:sz w:val="26"/>
          <w:szCs w:val="26"/>
          <w:bdr w:val="none" w:sz="0" w:space="0" w:color="auto" w:frame="1"/>
          <w14:ligatures w14:val="none"/>
        </w:rPr>
        <w:t>C</w:t>
      </w:r>
      <w:r>
        <w:t xml:space="preserve"> specified to capture the effects of interest. </w:t>
      </w:r>
      <w:r w:rsidR="004F779B">
        <w:t xml:space="preserve">Rather than include an indicator variable for treatment group </w:t>
      </w:r>
      <w:r w:rsidR="004F779B">
        <w:t>(</w:t>
      </w:r>
      <w:r w:rsidR="004F779B" w:rsidRPr="00C64BF8">
        <w:rPr>
          <w:rFonts w:ascii="MathJax_Math-italic" w:eastAsia="Times New Roman" w:hAnsi="MathJax_Math-italic" w:cs="Times New Roman"/>
          <w:kern w:val="0"/>
          <w:sz w:val="26"/>
          <w:szCs w:val="26"/>
          <w:bdr w:val="none" w:sz="0" w:space="0" w:color="auto" w:frame="1"/>
          <w14:ligatures w14:val="none"/>
        </w:rPr>
        <w:t>β</w:t>
      </w:r>
      <w:r w:rsidR="004F779B" w:rsidRPr="00C64BF8">
        <w:rPr>
          <w:rFonts w:ascii="MathJax_Math-italic" w:eastAsia="Times New Roman" w:hAnsi="MathJax_Math-italic" w:cs="Times New Roman"/>
          <w:kern w:val="0"/>
          <w:sz w:val="26"/>
          <w:szCs w:val="26"/>
          <w:bdr w:val="none" w:sz="0" w:space="0" w:color="auto" w:frame="1"/>
          <w:vertAlign w:val="subscript"/>
          <w14:ligatures w14:val="none"/>
        </w:rPr>
        <w:t>1</w:t>
      </w:r>
      <w:r w:rsidR="004F779B">
        <w:t>)</w:t>
      </w:r>
      <w:r w:rsidR="004F779B">
        <w:t xml:space="preserve">, </w:t>
      </w:r>
      <w:r w:rsidR="004F779B" w:rsidRPr="00C64BF8">
        <w:rPr>
          <w:rFonts w:ascii="MathJax_Math-italic" w:eastAsia="Times New Roman" w:hAnsi="MathJax_Math-italic" w:cs="Times New Roman"/>
          <w:b/>
          <w:bCs/>
          <w:kern w:val="0"/>
          <w:sz w:val="26"/>
          <w:szCs w:val="26"/>
          <w:bdr w:val="none" w:sz="0" w:space="0" w:color="auto" w:frame="1"/>
          <w14:ligatures w14:val="none"/>
        </w:rPr>
        <w:t>Z</w:t>
      </w:r>
      <w:r w:rsidR="004F779B">
        <w:t xml:space="preserve"> is specified to allow the treatment group (observations at Indian River) to be estimated as a separate state from the control group (</w:t>
      </w:r>
      <w:r w:rsidR="004F779B">
        <w:t xml:space="preserve">observations </w:t>
      </w:r>
      <w:r w:rsidR="004F779B">
        <w:t xml:space="preserve">made </w:t>
      </w:r>
      <w:r w:rsidR="004F779B">
        <w:t xml:space="preserve">at ADFG’s other </w:t>
      </w:r>
      <w:r w:rsidR="004F779B" w:rsidRPr="003C6E79">
        <w:rPr>
          <w:i/>
          <w:iCs/>
        </w:rPr>
        <w:t>north southeast (outside)</w:t>
      </w:r>
      <w:r w:rsidR="004F779B">
        <w:t xml:space="preserve"> index stream</w:t>
      </w:r>
      <w:r w:rsidR="004F779B">
        <w:t>). Separate models consider two treatment periods: 1) t</w:t>
      </w:r>
      <w:r>
        <w:t xml:space="preserve">he period </w:t>
      </w:r>
      <w:r w:rsidR="004F779B">
        <w:t xml:space="preserve">related to the commencement of hatchery operations </w:t>
      </w:r>
      <w:r w:rsidR="005B7404">
        <w:t>(</w:t>
      </w:r>
      <w:r>
        <w:t>post-1980</w:t>
      </w:r>
      <w:r w:rsidR="005B7404">
        <w:t>)</w:t>
      </w:r>
      <w:r>
        <w:t xml:space="preserve">, </w:t>
      </w:r>
      <w:r w:rsidR="005B7404">
        <w:t>and 2) the period related to the expansion of permitted pink salmon production at SJH (p</w:t>
      </w:r>
      <w:r>
        <w:t>ost-2010</w:t>
      </w:r>
      <w:r w:rsidR="005B7404">
        <w:t>)</w:t>
      </w:r>
      <w:r>
        <w:t xml:space="preserve">. </w:t>
      </w:r>
      <w:r w:rsidR="00DF0566">
        <w:t>Because of the autoregressive character of state processes in MARSS models, an intervention occurring at a single time step can impact the time series many steps into the future. It is easy to imagine that a recurring intervention could impact the time series at multiple time steps, pushing it far from its original state</w:t>
      </w:r>
      <w:r w:rsidR="00D15E91">
        <w:t>. In the case of pink salmon releases from SJH potentially impacting abundances a</w:t>
      </w:r>
    </w:p>
    <w:p w14:paraId="01D933D4" w14:textId="77777777" w:rsidR="00DF0566" w:rsidRDefault="00DF0566" w:rsidP="00DF0566">
      <w:pPr>
        <w:spacing w:after="0" w:line="480" w:lineRule="auto"/>
      </w:pPr>
    </w:p>
    <w:p w14:paraId="57D4CFF6" w14:textId="1B4003A9" w:rsidR="005B7404" w:rsidRDefault="005B7404" w:rsidP="00DF0566">
      <w:pPr>
        <w:spacing w:after="0" w:line="480" w:lineRule="auto"/>
      </w:pPr>
      <w:r>
        <w:t xml:space="preserve">Iterations of covariate data related to treatment period </w:t>
      </w:r>
      <w:r>
        <w:t>(</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w:t>
      </w:r>
      <w:r>
        <w:t xml:space="preserve"> were constructed to allow the impact of treatment to </w:t>
      </w:r>
    </w:p>
    <w:p w14:paraId="1304D17C" w14:textId="77777777" w:rsidR="005B7404" w:rsidRDefault="005B7404" w:rsidP="005B7404">
      <w:pPr>
        <w:spacing w:after="0" w:line="480" w:lineRule="auto"/>
      </w:pPr>
    </w:p>
    <w:p w14:paraId="28256842" w14:textId="372EC92E" w:rsidR="00A2387C" w:rsidRDefault="00060EB8" w:rsidP="005B7404">
      <w:pPr>
        <w:spacing w:after="0" w:line="480" w:lineRule="auto"/>
      </w:pPr>
      <w:r>
        <w:t>Models are specified including additional covariates to further isolate the effect of interest, controlling for observer</w:t>
      </w:r>
      <w:r w:rsidR="005B7404">
        <w:t xml:space="preserve"> and</w:t>
      </w:r>
      <w:r>
        <w:t xml:space="preserve"> for </w:t>
      </w:r>
      <w:r w:rsidR="005B7404">
        <w:t xml:space="preserve">ocean climate via </w:t>
      </w:r>
      <w:r>
        <w:t xml:space="preserve">PDO. These competing specifications are evaluated for best fit using AICc. </w:t>
      </w:r>
    </w:p>
    <w:p w14:paraId="5A918DB5" w14:textId="726F0526" w:rsidR="002A4213" w:rsidRDefault="00060EB8" w:rsidP="00A2387C">
      <w:pPr>
        <w:spacing w:after="0" w:line="480" w:lineRule="auto"/>
        <w:ind w:firstLine="360"/>
      </w:pPr>
      <w:r>
        <w:t>To ensure that the parallel trends assumption holds between treatment and control groups during the pre-treatment period, event studies are undertaken on the best fit models</w:t>
      </w:r>
      <w:r w:rsidR="002A4213">
        <w:t xml:space="preserve">. Simple </w:t>
      </w:r>
      <w:r w:rsidR="002A4213">
        <w:lastRenderedPageBreak/>
        <w:t>linear models are structured to isolate the effect of Indian River on pink salmon abundances during pre-treatment periods, as illustrated below:</w:t>
      </w:r>
    </w:p>
    <w:p w14:paraId="1CF65058" w14:textId="77777777" w:rsidR="002A4213" w:rsidRDefault="002A4213" w:rsidP="002A4213">
      <w:pPr>
        <w:spacing w:after="0" w:line="480" w:lineRule="auto"/>
      </w:pPr>
    </w:p>
    <w:p w14:paraId="3074EF8D" w14:textId="77777777" w:rsidR="002A4213" w:rsidRPr="008F33A8" w:rsidRDefault="002A4213" w:rsidP="002A4213">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1116B4D0" w14:textId="77777777" w:rsidR="002A4213" w:rsidRDefault="002A4213" w:rsidP="002A4213">
      <w:pPr>
        <w:spacing w:after="0" w:line="480" w:lineRule="auto"/>
      </w:pPr>
    </w:p>
    <w:p w14:paraId="32D3E6AE" w14:textId="65512B8F" w:rsidR="00060EB8" w:rsidRDefault="002A4213" w:rsidP="002A4213">
      <w:pPr>
        <w:spacing w:after="0" w:line="480" w:lineRule="auto"/>
      </w:pPr>
      <w:r>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 xml:space="preserve">indicates </w:t>
      </w:r>
      <w:r w:rsidR="00672EBC">
        <w:t>whether</w:t>
      </w:r>
      <w:r>
        <w:t xml:space="preserve"> an observation was taken at Indian River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1) or elsewhere in the </w:t>
      </w:r>
      <w:r w:rsidRPr="003C6E79">
        <w:rPr>
          <w:i/>
          <w:iCs/>
        </w:rPr>
        <w:t>north southeast (outside)</w:t>
      </w:r>
      <w:r>
        <w:t xml:space="preserve"> region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0). If indeed treatment and control groups are similar during the pre-treatment period, then the effect of Indian River on pink salmon abundances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t>) should not be statistically significant. I</w:t>
      </w:r>
      <w:r w:rsidR="00060EB8">
        <w:t xml:space="preserve">f these groups significantly differ, a synthetic control group is constructed using a weighted average of untreated streams to match the Indian River’s pre-treatment trend. </w:t>
      </w:r>
    </w:p>
    <w:p w14:paraId="62C5440C" w14:textId="6D6F02AA" w:rsidR="00060EB8" w:rsidRDefault="00060EB8" w:rsidP="00060EB8">
      <w:pPr>
        <w:spacing w:after="0" w:line="480" w:lineRule="auto"/>
        <w:ind w:firstLine="360"/>
      </w:pPr>
      <w:commentRangeStart w:id="34"/>
      <w:r>
        <w:t xml:space="preserve">Parametric bootstrapping is employed on the best fit models to construct confidence intervals around these </w:t>
      </w:r>
      <w:commentRangeEnd w:id="34"/>
      <w:r w:rsidR="00A2387C">
        <w:rPr>
          <w:rStyle w:val="CommentReference"/>
          <w:sz w:val="24"/>
          <w:szCs w:val="24"/>
        </w:rPr>
        <w:commentReference w:id="34"/>
      </w:r>
      <w:r>
        <w:t xml:space="preserve">parameter estimates. A statistically significant estimate of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w:t>
      </w:r>
    </w:p>
    <w:p w14:paraId="498878BE" w14:textId="77777777" w:rsidR="00670218" w:rsidRDefault="00670218" w:rsidP="00612D9D">
      <w:pPr>
        <w:pStyle w:val="ListParagraph"/>
        <w:spacing w:after="0" w:line="480" w:lineRule="auto"/>
        <w:ind w:left="360"/>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7AD82FAA" w:rsidR="00F4350E" w:rsidRDefault="004B019B" w:rsidP="00C64BF8">
      <w:pPr>
        <w:spacing w:after="0" w:line="480" w:lineRule="auto"/>
      </w:pPr>
      <w:r>
        <w:t>Finally</w:t>
      </w:r>
      <w:r w:rsidR="00670218">
        <w:t xml:space="preserve">, </w:t>
      </w:r>
      <w:r w:rsidR="00060EB8">
        <w:t>this research</w:t>
      </w:r>
      <w:r w:rsidR="00670218">
        <w:t xml:space="preserve"> focus</w:t>
      </w:r>
      <w:r w:rsidR="00060EB8">
        <w:t>es</w:t>
      </w:r>
      <w:r w:rsidR="00670218">
        <w:t xml:space="preserve"> on the effect of the number of fish released by the hatchery each year. While scarcity of available stray rate data makes a direct analysis of the impacts of straying impossible, the impacts of hatchery releases on pink salmon abundance at Indian River (as well </w:t>
      </w:r>
      <w:r w:rsidR="00670218">
        <w:lastRenderedPageBreak/>
        <w:t>as the inverse)</w:t>
      </w:r>
      <w:r w:rsidR="00060EB8">
        <w:t xml:space="preserve"> are estimated</w:t>
      </w:r>
      <w:r w:rsidR="00205B63">
        <w:t xml:space="preserve"> via the same MARSS models described above</w:t>
      </w:r>
      <w:r w:rsidR="00670218">
        <w:t xml:space="preserve">. </w:t>
      </w:r>
      <w:commentRangeStart w:id="35"/>
      <w:commentRangeStart w:id="36"/>
      <w:commentRangeStart w:id="37"/>
      <w:commentRangeStart w:id="38"/>
      <w:r w:rsidR="00670218">
        <w:t xml:space="preserve">It is important to consider the effect of straying both to and from Indian River, as both would influence the abundances observed in stream. </w:t>
      </w:r>
      <w:commentRangeEnd w:id="37"/>
      <w:r w:rsidR="00205B63">
        <w:rPr>
          <w:rStyle w:val="CommentReference"/>
          <w:sz w:val="24"/>
          <w:szCs w:val="24"/>
        </w:rPr>
        <w:commentReference w:id="37"/>
      </w:r>
      <w:commentRangeEnd w:id="38"/>
      <w:r w:rsidR="00F275C7">
        <w:rPr>
          <w:rStyle w:val="CommentReference"/>
          <w:sz w:val="24"/>
          <w:szCs w:val="24"/>
        </w:rPr>
        <w:commentReference w:id="38"/>
      </w:r>
      <w:r w:rsidR="00670218">
        <w:t xml:space="preserve">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F275C7">
        <w:t xml:space="preserve"> is isolated.</w:t>
      </w:r>
      <w:r w:rsidR="00670218">
        <w:t xml:space="preserve"> It is important to note that, because escapement data are log</w:t>
      </w:r>
      <w:r>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w:t>
      </w:r>
      <w:commentRangeEnd w:id="35"/>
      <w:r w:rsidR="009B5B49">
        <w:rPr>
          <w:rStyle w:val="CommentReference"/>
          <w:sz w:val="24"/>
          <w:szCs w:val="24"/>
        </w:rPr>
        <w:commentReference w:id="35"/>
      </w:r>
      <w:commentRangeEnd w:id="36"/>
      <w:r w:rsidR="00F275C7">
        <w:rPr>
          <w:rStyle w:val="CommentReference"/>
          <w:sz w:val="24"/>
          <w:szCs w:val="24"/>
        </w:rPr>
        <w:commentReference w:id="36"/>
      </w:r>
      <w:r w:rsidR="00670218">
        <w:t xml:space="preserve"> </w:t>
      </w:r>
      <w:r w:rsidR="005B1CFB">
        <w:t>Parametric bootstrapping is employed to construct confidence intervals around these parameter estimates.</w:t>
      </w:r>
    </w:p>
    <w:p w14:paraId="2090CCA8" w14:textId="49FD9BC2" w:rsidR="00670218" w:rsidRDefault="00741B88" w:rsidP="00F4350E">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covariate data relating to smolts reared by the hatchery from eggs taken 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1D32533F" w14:textId="77777777" w:rsidR="00741B88" w:rsidRDefault="00741B88" w:rsidP="00C64BF8">
      <w:pPr>
        <w:spacing w:after="0" w:line="480" w:lineRule="auto"/>
      </w:pP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9"/>
                    <a:stretch>
                      <a:fillRect/>
                    </a:stretch>
                  </pic:blipFill>
                  <pic:spPr>
                    <a:xfrm>
                      <a:off x="0" y="0"/>
                      <a:ext cx="3791145" cy="419122"/>
                    </a:xfrm>
                    <a:prstGeom prst="rect">
                      <a:avLst/>
                    </a:prstGeom>
                  </pic:spPr>
                </pic:pic>
              </a:graphicData>
            </a:graphic>
          </wp:inline>
        </w:drawing>
      </w:r>
    </w:p>
    <w:p w14:paraId="5AC17653" w14:textId="77777777" w:rsidR="00670218" w:rsidRDefault="00670218" w:rsidP="00612D9D">
      <w:pPr>
        <w:pStyle w:val="ListParagraph"/>
        <w:spacing w:after="0" w:line="480" w:lineRule="auto"/>
        <w:ind w:left="360"/>
      </w:pPr>
    </w:p>
    <w:p w14:paraId="4AE546A3" w14:textId="00CF08DD" w:rsidR="00670218" w:rsidRDefault="00670218" w:rsidP="00C64BF8">
      <w:pPr>
        <w:spacing w:after="0" w:line="480" w:lineRule="auto"/>
      </w:pPr>
      <w:r>
        <w:lastRenderedPageBreak/>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p>
    <w:p w14:paraId="7FCF4F38" w14:textId="77777777" w:rsidR="00670218" w:rsidRDefault="00670218" w:rsidP="00612D9D">
      <w:pPr>
        <w:spacing w:after="0" w:line="480" w:lineRule="auto"/>
      </w:pPr>
    </w:p>
    <w:p w14:paraId="4F1F1CCA" w14:textId="77777777" w:rsidR="00670218" w:rsidRPr="008C144E" w:rsidRDefault="00670218" w:rsidP="008C144E">
      <w:pPr>
        <w:spacing w:after="0" w:line="480" w:lineRule="auto"/>
        <w:rPr>
          <w:b/>
          <w:bCs/>
          <w:u w:val="single"/>
        </w:rPr>
      </w:pPr>
      <w:bookmarkStart w:id="39" w:name="_Hlk201668133"/>
      <w:r w:rsidRPr="008C144E">
        <w:rPr>
          <w:b/>
          <w:bCs/>
          <w:u w:val="single"/>
        </w:rPr>
        <w:t>Results</w:t>
      </w:r>
    </w:p>
    <w:p w14:paraId="21BB6878" w14:textId="77777777" w:rsidR="00F4350E" w:rsidRDefault="00F4350E" w:rsidP="00F4350E">
      <w:pPr>
        <w:spacing w:after="0" w:line="480" w:lineRule="auto"/>
        <w:rPr>
          <w:b/>
          <w:bCs/>
        </w:rPr>
      </w:pPr>
      <w:r w:rsidRPr="00C64BF8">
        <w:rPr>
          <w:b/>
          <w:bCs/>
        </w:rPr>
        <w:t>Regional Abundance</w:t>
      </w:r>
    </w:p>
    <w:p w14:paraId="03F45F5B" w14:textId="0C23291B" w:rsidR="00C3066D" w:rsidRDefault="007635F3" w:rsidP="00F4350E">
      <w:pPr>
        <w:spacing w:after="0" w:line="480" w:lineRule="auto"/>
      </w:pPr>
      <w:r>
        <w:t>For both even- and odd-year runs</w:t>
      </w:r>
      <w:commentRangeStart w:id="40"/>
      <w:commentRangeStart w:id="41"/>
      <w:r w:rsidR="00C3066D">
        <w:t xml:space="preserve">, Indian River abundances at the beginning of the time series </w:t>
      </w:r>
      <w:r w:rsidR="00F9527E">
        <w:t>fall below what might be expected relative to the wider region. Even-year Indian River abundance in 1960 was</w:t>
      </w:r>
      <w:r w:rsidR="00837571">
        <w:t xml:space="preserve"> estimated to be 0</w:t>
      </w:r>
      <w:r w:rsidR="00F9527E">
        <w:t>.476 standard deviations lower than</w:t>
      </w:r>
      <w:r w:rsidR="00837571">
        <w:t xml:space="preserve"> the </w:t>
      </w:r>
      <w:commentRangeStart w:id="42"/>
      <w:r w:rsidR="00837571">
        <w:t>regional average</w:t>
      </w:r>
      <w:commentRangeEnd w:id="42"/>
      <w:r w:rsidR="00837571">
        <w:rPr>
          <w:rStyle w:val="CommentReference"/>
          <w:sz w:val="24"/>
          <w:szCs w:val="24"/>
        </w:rPr>
        <w:commentReference w:id="42"/>
      </w:r>
      <w:r w:rsidR="00837571">
        <w:t>, while odd-year Indian River abundance in 1961 was estimated to be 1.326 standard deviations lower</w:t>
      </w:r>
      <w:r w:rsidR="00C3066D">
        <w:t>. Over the course of the time series, Indian River abundances for both runs “catch-up” to what would be expected of an average pink salmon index stream</w:t>
      </w:r>
      <w:r w:rsidR="001A405D">
        <w:t xml:space="preserve">, although odd-year Indian River runs take some </w:t>
      </w:r>
      <w:r w:rsidR="00837571">
        <w:t>time</w:t>
      </w:r>
      <w:r w:rsidR="001A405D">
        <w:t xml:space="preserve"> to accomplish this and do not exceed th</w:t>
      </w:r>
      <w:r w:rsidR="00837571">
        <w:t>e</w:t>
      </w:r>
      <w:r w:rsidR="001A405D">
        <w:t xml:space="preserve"> statistical average until 1997. From the middle 1990s onward, both </w:t>
      </w:r>
      <w:r w:rsidR="00837571">
        <w:t xml:space="preserve">Indian River </w:t>
      </w:r>
      <w:r w:rsidR="001A405D">
        <w:t>runs are closely aligned with the average index stream, exceeding the average in some years and falling short in others, but in either case not by an amount that appears drastic when visually appraised</w:t>
      </w:r>
      <w:r>
        <w:t xml:space="preserve"> (Figure 3)</w:t>
      </w:r>
      <w:r w:rsidR="001A405D">
        <w:t>.</w:t>
      </w:r>
      <w:commentRangeEnd w:id="40"/>
      <w:r w:rsidR="009C0B82">
        <w:rPr>
          <w:rStyle w:val="CommentReference"/>
          <w:sz w:val="24"/>
          <w:szCs w:val="24"/>
        </w:rPr>
        <w:commentReference w:id="40"/>
      </w:r>
      <w:commentRangeEnd w:id="41"/>
      <w:r w:rsidR="00F9527E">
        <w:rPr>
          <w:rStyle w:val="CommentReference"/>
          <w:sz w:val="24"/>
          <w:szCs w:val="24"/>
        </w:rPr>
        <w:commentReference w:id="41"/>
      </w:r>
    </w:p>
    <w:p w14:paraId="09E780EF" w14:textId="511D4277" w:rsidR="00FC2324" w:rsidRPr="00C3066D" w:rsidRDefault="006A0FFE" w:rsidP="00A2387C">
      <w:pPr>
        <w:spacing w:after="0" w:line="480" w:lineRule="auto"/>
      </w:pPr>
      <w:r>
        <w:tab/>
      </w:r>
      <w:r w:rsidR="007635F3">
        <w:t>P</w:t>
      </w:r>
      <w:commentRangeStart w:id="43"/>
      <w:r>
        <w:t>ink salmon abundances observed in recent years at Indian River</w:t>
      </w:r>
      <w:r w:rsidR="008D3168">
        <w:t xml:space="preserve"> do not seem to </w:t>
      </w:r>
      <w:r w:rsidR="001B7645">
        <w:t xml:space="preserve">deviate wildly from the </w:t>
      </w:r>
      <w:commentRangeStart w:id="44"/>
      <w:r w:rsidR="001B7645">
        <w:t>regional average</w:t>
      </w:r>
      <w:commentRangeEnd w:id="44"/>
      <w:r w:rsidR="00AF5677">
        <w:rPr>
          <w:rStyle w:val="CommentReference"/>
          <w:sz w:val="24"/>
          <w:szCs w:val="24"/>
        </w:rPr>
        <w:commentReference w:id="44"/>
      </w:r>
      <w:r>
        <w:t xml:space="preserve">. However, plotting these time series is not enough to conclusively state that abundances at Indian River do not differ from those that would be expected of an average pink salmon index stream in the region in a statistically significant way. </w:t>
      </w:r>
      <w:commentRangeEnd w:id="43"/>
      <w:del w:id="45" w:author="Brian McGreal" w:date="2026-03-30T12:29:00Z" w16du:dateUtc="2026-03-30T19:29:00Z">
        <w:r w:rsidR="00AF5677" w:rsidDel="002A4213">
          <w:rPr>
            <w:rStyle w:val="CommentReference"/>
            <w:sz w:val="24"/>
            <w:szCs w:val="24"/>
          </w:rPr>
          <w:lastRenderedPageBreak/>
          <w:commentReference w:id="43"/>
        </w:r>
        <w:r w:rsidR="00B50797" w:rsidDel="002A4213">
          <w:delText xml:space="preserve"> </w:delText>
        </w:r>
      </w:del>
      <w:r w:rsidR="001B7645">
        <w:t xml:space="preserve">Models specified to allow the estimation of different underlying states are compared for best fit (Table 1). The best fit model allows includes a separate underlying state of Indian River pink salmon abundance in odd years, while estimating a single underlying state of pink salmon abundance throughout the region (including Indian River) in even years. </w:t>
      </w:r>
      <w:r w:rsidR="00112BBF">
        <w:t>Due to the difference in AICc of 12.916 between this model and t</w:t>
      </w:r>
      <w:r w:rsidR="001B7645">
        <w:t>he model with the second best fit</w:t>
      </w:r>
      <w:r w:rsidR="00112BBF">
        <w:t xml:space="preserve"> (which</w:t>
      </w:r>
      <w:r w:rsidR="001B7645">
        <w:t xml:space="preserve"> allows for both even- and odd-year Indian River pink salmon abundance to be estimated as separate from regional abundances</w:t>
      </w:r>
      <w:r w:rsidR="00112BBF">
        <w:t xml:space="preserve">) means that, given the available data, this model can be said to be best with 99.84% confidence </w:t>
      </w:r>
      <w:r w:rsidR="00AF5677">
        <w:t>(Mazerolle 2006).</w:t>
      </w:r>
      <w:r w:rsidR="00112BBF">
        <w:t xml:space="preserve"> Model specifications which estimated a single state of odd-year pink salmon abundance throughout the region performed abysmally by this standard, with infinitesimally small likelihoods of best fit. These findings suggest a scenario in which even-year pink salmon abundances at Indian River are very much in line with those that might be expected of an average stream in the </w:t>
      </w:r>
      <w:r w:rsidR="00112BBF">
        <w:rPr>
          <w:i/>
          <w:iCs/>
        </w:rPr>
        <w:t>north southeast (outside)</w:t>
      </w:r>
      <w:r w:rsidR="00112BBF">
        <w:t xml:space="preserve"> region, while odd-year Indian River abundances </w:t>
      </w:r>
      <w:r w:rsidR="00AE03EE">
        <w:t xml:space="preserve">differ significantly. It is important to note that this difference may be </w:t>
      </w:r>
      <w:r w:rsidR="00112BBF">
        <w:t xml:space="preserve">may be due to the large differences between </w:t>
      </w:r>
      <w:r w:rsidR="00AE03EE">
        <w:t xml:space="preserve">odd year </w:t>
      </w:r>
      <w:r w:rsidR="00112BBF">
        <w:t xml:space="preserve">time series observed </w:t>
      </w:r>
      <w:r w:rsidR="00AE03EE">
        <w:t>in the first 30 years of the study period (Figure 3), which could suggest that SJH releases may not be a primary driver of this disparity</w:t>
      </w:r>
      <w:r w:rsidR="00112BBF">
        <w:t>.</w:t>
      </w:r>
    </w:p>
    <w:p w14:paraId="737A3141" w14:textId="77777777" w:rsidR="00C3066D" w:rsidRDefault="00C3066D" w:rsidP="00F4350E">
      <w:pPr>
        <w:spacing w:after="0" w:line="480" w:lineRule="auto"/>
        <w:rPr>
          <w:b/>
          <w:bCs/>
        </w:rPr>
      </w:pPr>
    </w:p>
    <w:p w14:paraId="146C7F99" w14:textId="50623083" w:rsidR="00F4350E" w:rsidRDefault="00F4350E" w:rsidP="00F4350E">
      <w:pPr>
        <w:spacing w:after="0" w:line="480" w:lineRule="auto"/>
        <w:rPr>
          <w:b/>
          <w:bCs/>
        </w:rPr>
      </w:pPr>
      <w:r w:rsidRPr="00C64BF8">
        <w:rPr>
          <w:b/>
          <w:bCs/>
        </w:rPr>
        <w:t>Effect of Hatchery Operations</w:t>
      </w:r>
    </w:p>
    <w:p w14:paraId="5BF7CC99" w14:textId="0395B4CB" w:rsidR="007B0F67" w:rsidRDefault="00672EBC" w:rsidP="003D1E65">
      <w:pPr>
        <w:spacing w:after="0" w:line="480" w:lineRule="auto"/>
      </w:pPr>
      <w:r>
        <w:t xml:space="preserve">Separate </w:t>
      </w:r>
      <w:r w:rsidR="00FE133B">
        <w:t>difference-in-difference</w:t>
      </w:r>
      <w:r>
        <w:t xml:space="preserve"> models were fit for </w:t>
      </w:r>
      <w:r w:rsidR="00FE133B">
        <w:t xml:space="preserve">the post-1980 and post-2010 treatment periods. In both cases, </w:t>
      </w:r>
      <w:r w:rsidR="003D1E65">
        <w:t xml:space="preserve">AICc comparisons find that the best fit </w:t>
      </w:r>
      <w:r w:rsidR="00FE133B">
        <w:t>DD</w:t>
      </w:r>
      <w:r w:rsidR="003D1E65">
        <w:t xml:space="preserve"> models include </w:t>
      </w:r>
      <w:r>
        <w:t xml:space="preserve">only </w:t>
      </w:r>
      <w:r w:rsidR="003D1E65">
        <w:t xml:space="preserve">covariates controlling for observer, </w:t>
      </w:r>
      <w:r>
        <w:t>although the difference in AICc between the best fit model and the</w:t>
      </w:r>
      <w:r w:rsidR="00FE133B">
        <w:t xml:space="preserve"> full</w:t>
      </w:r>
      <w:r>
        <w:t xml:space="preserve"> model</w:t>
      </w:r>
      <w:r w:rsidR="003D1E65">
        <w:t xml:space="preserve"> </w:t>
      </w:r>
      <w:r w:rsidR="00FE133B">
        <w:t>(</w:t>
      </w:r>
      <w:r>
        <w:t>which</w:t>
      </w:r>
      <w:r w:rsidR="003D1E65">
        <w:t xml:space="preserve"> includ</w:t>
      </w:r>
      <w:r>
        <w:t>es</w:t>
      </w:r>
      <w:r w:rsidR="003D1E65">
        <w:t xml:space="preserve"> </w:t>
      </w:r>
      <w:r>
        <w:t xml:space="preserve">covariates for both observer and </w:t>
      </w:r>
      <w:r w:rsidR="003D1E65">
        <w:t>PDO</w:t>
      </w:r>
      <w:r w:rsidR="00FE133B">
        <w:t>)</w:t>
      </w:r>
      <w:r w:rsidR="003D1E65">
        <w:t xml:space="preserve"> </w:t>
      </w:r>
      <w:r>
        <w:t>is less than two</w:t>
      </w:r>
      <w:r w:rsidR="00FE133B">
        <w:t xml:space="preserve"> (</w:t>
      </w:r>
      <w:r w:rsidR="00FE133B">
        <w:rPr>
          <w:rFonts w:cstheme="minorHAnsi"/>
        </w:rPr>
        <w:t>Δ</w:t>
      </w:r>
      <w:r w:rsidR="00FE133B">
        <w:t xml:space="preserve">AICc = 1.577 in </w:t>
      </w:r>
      <w:r w:rsidR="00FE133B">
        <w:lastRenderedPageBreak/>
        <w:t xml:space="preserve">the post-1980 model set, and </w:t>
      </w:r>
      <w:r w:rsidR="00FE133B">
        <w:rPr>
          <w:rFonts w:cstheme="minorHAnsi"/>
        </w:rPr>
        <w:t>Δ</w:t>
      </w:r>
      <w:r w:rsidR="00FE133B">
        <w:t>AICc = 0.96 in the post-2010 model set)</w:t>
      </w:r>
      <w:r w:rsidR="003D1E65">
        <w:t xml:space="preserve">. </w:t>
      </w:r>
      <w:r w:rsidR="00FE133B">
        <w:t>This means that despite not being the best fit model, the statistical confidence to reject the full model is lacking. Due to this model uncertainty, an Akaike-weighted average of parameters from each model are</w:t>
      </w:r>
      <w:r w:rsidR="00BB24CA">
        <w:t xml:space="preserve"> evaluated (Burnham </w:t>
      </w:r>
      <w:r w:rsidR="00A928CA">
        <w:t>and</w:t>
      </w:r>
      <w:r w:rsidR="00BB24CA">
        <w:t xml:space="preserve"> Anderson 2002)</w:t>
      </w:r>
      <w:r w:rsidR="00FE133B">
        <w:t>.</w:t>
      </w:r>
      <w:r w:rsidR="00BB24CA">
        <w:t xml:space="preserve"> </w:t>
      </w:r>
    </w:p>
    <w:p w14:paraId="19FCCE81" w14:textId="723D6094" w:rsidR="003D1E65" w:rsidRDefault="007B0F67" w:rsidP="007B0F67">
      <w:pPr>
        <w:spacing w:after="0" w:line="480" w:lineRule="auto"/>
        <w:ind w:firstLine="720"/>
      </w:pPr>
      <w:r>
        <w:t>When evaluating model fit in both the pre-treatment periods, AICc indicates that the best fit models include only covariates controlling for observer, meaning the</w:t>
      </w:r>
      <w:r w:rsidR="00BB24CA">
        <w:t xml:space="preserve"> </w:t>
      </w:r>
      <w:r w:rsidR="003D1E65">
        <w:t xml:space="preserve">parallel trends assumption </w:t>
      </w:r>
      <w:r w:rsidR="00BB24CA">
        <w:t xml:space="preserve">is </w:t>
      </w:r>
      <w:r>
        <w:t>will be evaluated including these covariates</w:t>
      </w:r>
      <w:r w:rsidR="00BB24CA">
        <w:t xml:space="preserve">. </w:t>
      </w:r>
      <w:r w:rsidR="003D1E65">
        <w:t>For both odd- and even-year runs, pink salmon abundances at Indian River do not differ significantly from those observed in either pre-treatment period elsewhere in the region (Figure 4), meaning that the parallel trends assumption holds in all cases and there is no need to construct synthetic control groups.</w:t>
      </w:r>
    </w:p>
    <w:p w14:paraId="32509FB1" w14:textId="77777777" w:rsidR="005B1CFB" w:rsidRDefault="00CD3E62" w:rsidP="005B1CFB">
      <w:pPr>
        <w:spacing w:after="0" w:line="480" w:lineRule="auto"/>
      </w:pPr>
      <w:r>
        <w:tab/>
      </w:r>
      <w:r w:rsidR="005B1CFB">
        <w:t xml:space="preserve">Parametric bootstrapping of DD effects of interest reveal interesting patterns of behavior. Critically, no significant effect of treatment group, treatment period, or the interaction of the two is observed in either model (Figure 5). In both models, bootstrap parameter estimates of the effect of treatment group (i.e. Indian River) tend to be positive, although not frequently enough to say with high confidence that the relative effect of Indian River on pink salmon abundances is different than zero.  The effect of the post-treatment period is centered close to zero in all runs across both models. Parameter estimates of the effect of hatchery operations on abundances at Indian River tend to be negative. This surprising result would imply that fish are being drawn from Indian River towards the hatchery and that abundances in the stream have decreased as a result of hatchery operations, although once again it cannot be said with confidence that the true effect is different from zero. </w:t>
      </w:r>
    </w:p>
    <w:p w14:paraId="0E88E592" w14:textId="5A0B0CCF" w:rsidR="00CD3E62" w:rsidRPr="00C64BF8" w:rsidRDefault="00CD3E62" w:rsidP="00F4350E">
      <w:pPr>
        <w:spacing w:after="0" w:line="480" w:lineRule="auto"/>
        <w:rPr>
          <w:b/>
          <w:bCs/>
        </w:rPr>
      </w:pPr>
    </w:p>
    <w:p w14:paraId="34D26D14" w14:textId="77777777" w:rsidR="00F4350E" w:rsidRPr="00C64BF8" w:rsidRDefault="00F4350E" w:rsidP="00F4350E">
      <w:pPr>
        <w:spacing w:after="0" w:line="480" w:lineRule="auto"/>
        <w:rPr>
          <w:b/>
          <w:bCs/>
        </w:rPr>
      </w:pPr>
      <w:r w:rsidRPr="00C64BF8">
        <w:rPr>
          <w:b/>
          <w:bCs/>
        </w:rPr>
        <w:lastRenderedPageBreak/>
        <w:t>Effect of Hatchery Releases</w:t>
      </w:r>
    </w:p>
    <w:p w14:paraId="25A43606" w14:textId="49EB5603" w:rsidR="00C3066D" w:rsidRDefault="005B1CFB" w:rsidP="008C144E">
      <w:pPr>
        <w:spacing w:after="0" w:line="480" w:lineRule="auto"/>
      </w:pPr>
      <w:r>
        <w:t>T</w:t>
      </w:r>
      <w:r w:rsidR="00976473">
        <w:t xml:space="preserve">he </w:t>
      </w:r>
      <w:r>
        <w:t>final</w:t>
      </w:r>
      <w:r w:rsidR="00976473">
        <w:t xml:space="preserve"> stage of this research </w:t>
      </w:r>
      <w:r>
        <w:t>d</w:t>
      </w:r>
      <w:r w:rsidR="00976473">
        <w:t>irectly evaluate</w:t>
      </w:r>
      <w:r>
        <w:t>s</w:t>
      </w:r>
      <w:r w:rsidR="00976473">
        <w:t xml:space="preserve"> the effect o</w:t>
      </w:r>
      <w:r w:rsidR="005227E4">
        <w:t>f the volume of pink salmon coming from each source (the river and the hatchery) in brood year t-1 has on the other in brood year t</w:t>
      </w:r>
      <w:r w:rsidR="00976473">
        <w:t>.</w:t>
      </w:r>
      <w:r w:rsidR="00090DA1">
        <w:t xml:space="preserve"> MARSS model</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parameter estimates capture these interaction effects</w:t>
      </w:r>
      <w:r w:rsidR="00090DA1">
        <w:t>, including the parameter of greatest interest – the e</w:t>
      </w:r>
      <w:r w:rsidR="00090DA1" w:rsidRPr="00090DA1">
        <w:t>ffect of prior brood year hatchery returns on current brood year Indian River abundance</w:t>
      </w:r>
      <w:r w:rsidR="00090DA1">
        <w:t xml:space="preserve">, as well as the effect of </w:t>
      </w:r>
      <w:r w:rsidR="00090DA1" w:rsidRPr="00090DA1">
        <w:t>prior brood year Indian River abundance on current brood year</w:t>
      </w:r>
      <w:r w:rsidR="00090DA1">
        <w:t xml:space="preserve"> </w:t>
      </w:r>
      <w:r w:rsidR="00090DA1" w:rsidRPr="00090DA1">
        <w:t>hatchery returns</w:t>
      </w:r>
      <w:r w:rsidR="00090DA1">
        <w:t>, and the effect of prior brood year Indian River abundance on current brood year Indian River abundance</w:t>
      </w:r>
      <w:r>
        <w:t xml:space="preserve"> (Figure 6)</w:t>
      </w:r>
      <w:r w:rsidR="00090DA1">
        <w:t>.</w:t>
      </w:r>
    </w:p>
    <w:p w14:paraId="40ADB905" w14:textId="1F202FC7" w:rsidR="00675815" w:rsidRDefault="00090DA1" w:rsidP="008C144E">
      <w:pPr>
        <w:spacing w:after="0" w:line="480" w:lineRule="auto"/>
      </w:pPr>
      <w:r>
        <w:tab/>
        <w:t xml:space="preserve">The </w:t>
      </w:r>
      <w:r w:rsidR="00855FD8">
        <w:t xml:space="preserve">average </w:t>
      </w:r>
      <w:r w:rsidR="006D7969">
        <w:t>e</w:t>
      </w:r>
      <w:r w:rsidR="006D7969" w:rsidRPr="00090DA1">
        <w:t>ffect of prior brood year hatchery returns on current brood year Indian River abundance</w:t>
      </w:r>
      <w:r w:rsidR="00A21D8D">
        <w:t xml:space="preserve"> was</w:t>
      </w:r>
      <w:r w:rsidR="006D7969">
        <w:t xml:space="preserve"> </w:t>
      </w:r>
      <w:r w:rsidR="009F6B38">
        <w:t xml:space="preserve">positive </w:t>
      </w:r>
      <w:r w:rsidR="006D7969">
        <w:t>for both even- and odd-year runs</w:t>
      </w:r>
      <w:r w:rsidR="009F6B38">
        <w:t>, although this is the smallest of the three effects observed for each run, with point estimates of 0.</w:t>
      </w:r>
      <w:r w:rsidR="00086DA1">
        <w:t>089</w:t>
      </w:r>
      <w:r w:rsidR="009F6B38">
        <w:t xml:space="preserve"> and 0.</w:t>
      </w:r>
      <w:r w:rsidR="00086DA1">
        <w:t>04</w:t>
      </w:r>
      <w:r w:rsidR="009F6B38">
        <w:t xml:space="preserve"> respectively</w:t>
      </w:r>
      <w:r w:rsidR="00855FD8">
        <w:t>, and in both cases enough parameter estimates fell below zero to diminish statistical confidence in the result</w:t>
      </w:r>
      <w:r w:rsidR="006D7969">
        <w:t xml:space="preserve">. </w:t>
      </w:r>
      <w:r w:rsidR="009F6B38">
        <w:t>Not surprisingly t</w:t>
      </w:r>
      <w:r w:rsidR="006D7969">
        <w:t xml:space="preserve">he river shows a significant positive effect on itself for both odd- and even-year runs, with </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commentRangeStart w:id="46"/>
      <w:r w:rsidR="00675815">
        <w:t xml:space="preserve">While the effect of prior brood year Indian River abundances on current brood year hatchery returns is stronger for both runs than its inverse, it is crucial to note that hatchery returns are </w:t>
      </w:r>
      <w:r w:rsidR="00B00D9B">
        <w:t>greater than Indian River abundance much more often than not. This means that</w:t>
      </w:r>
      <w:r w:rsidR="005C24C4">
        <w:t>,</w:t>
      </w:r>
      <w:r w:rsidR="00B00D9B">
        <w:t xml:space="preserve"> despite the difference in effect, the overall numbers of fish </w:t>
      </w:r>
      <w:r w:rsidR="00A21D8D">
        <w:t xml:space="preserve">straying </w:t>
      </w:r>
      <w:r w:rsidR="00B00D9B">
        <w:t xml:space="preserve">to a </w:t>
      </w:r>
      <w:r w:rsidR="00A21D8D">
        <w:t xml:space="preserve">non-origin </w:t>
      </w:r>
      <w:r w:rsidR="00B00D9B">
        <w:t xml:space="preserve">site </w:t>
      </w:r>
      <w:r w:rsidR="00625D54">
        <w:t xml:space="preserve">could be roughly equal or even skewed towards hatchery-born fish returning to Indian River. In those brood years where Indian </w:t>
      </w:r>
      <w:r w:rsidR="00625D54">
        <w:lastRenderedPageBreak/>
        <w:t>River abundances exceed hatchery returns, these effect</w:t>
      </w:r>
      <w:r w:rsidR="00A21D8D">
        <w:t xml:space="preserve"> size</w:t>
      </w:r>
      <w:r w:rsidR="00625D54">
        <w:t>s imply that the following brood year will see more fish from Indian River returning to the hatchery than vice versa.</w:t>
      </w:r>
      <w:commentRangeEnd w:id="46"/>
      <w:r w:rsidR="00B07643">
        <w:rPr>
          <w:rStyle w:val="CommentReference"/>
          <w:sz w:val="24"/>
          <w:szCs w:val="24"/>
        </w:rPr>
        <w:commentReference w:id="46"/>
      </w:r>
    </w:p>
    <w:p w14:paraId="791283B6" w14:textId="77777777" w:rsidR="00344905" w:rsidRDefault="00344905" w:rsidP="008C144E">
      <w:pPr>
        <w:spacing w:after="0" w:line="480" w:lineRule="auto"/>
      </w:pPr>
    </w:p>
    <w:bookmarkEnd w:id="1"/>
    <w:bookmarkEnd w:id="39"/>
    <w:p w14:paraId="5EDACFAE" w14:textId="77777777" w:rsidR="005306BE" w:rsidRPr="008C144E" w:rsidRDefault="005306BE" w:rsidP="005306BE">
      <w:pPr>
        <w:spacing w:after="0" w:line="480" w:lineRule="auto"/>
        <w:rPr>
          <w:b/>
          <w:bCs/>
          <w:u w:val="single"/>
        </w:rPr>
      </w:pPr>
      <w:commentRangeStart w:id="47"/>
      <w:r w:rsidRPr="008C144E">
        <w:rPr>
          <w:b/>
          <w:bCs/>
          <w:u w:val="single"/>
        </w:rPr>
        <w:t>Discussion</w:t>
      </w:r>
      <w:commentRangeEnd w:id="47"/>
      <w:r w:rsidRPr="008C144E">
        <w:rPr>
          <w:rStyle w:val="CommentReference"/>
          <w:b/>
          <w:bCs/>
          <w:sz w:val="24"/>
          <w:szCs w:val="24"/>
          <w:u w:val="single"/>
        </w:rPr>
        <w:commentReference w:id="47"/>
      </w:r>
    </w:p>
    <w:p w14:paraId="0B5E22D3" w14:textId="77777777" w:rsidR="005306BE" w:rsidRDefault="005306BE" w:rsidP="005306BE">
      <w:pPr>
        <w:spacing w:after="0" w:line="480" w:lineRule="auto"/>
        <w:ind w:firstLine="720"/>
      </w:pPr>
      <w:r>
        <w:t xml:space="preserve">While pink salmon densities observed at Indian River in recent decades are high compared to those that were recorded decades ago, more contemporary returns of adults to the Indian River in even years are largely in line with index streams in the </w:t>
      </w:r>
      <w:r w:rsidRPr="003C6E79">
        <w:rPr>
          <w:i/>
          <w:iCs/>
        </w:rPr>
        <w:t xml:space="preserve">north southeast </w:t>
      </w:r>
      <w:r w:rsidRPr="00095DCA">
        <w:t>(</w:t>
      </w:r>
      <w:r w:rsidRPr="003C6E79">
        <w:rPr>
          <w:i/>
          <w:iCs/>
        </w:rPr>
        <w:t>outside</w:t>
      </w:r>
      <w:r w:rsidRPr="00095DCA">
        <w:t>), where</w:t>
      </w:r>
      <w:r>
        <w:t xml:space="preserve">as odd-year runs are not in line with broader regional patterns. No significant impact of hatchery operations at Indian River was observed in either run, although evidence was found of Indian River abundances positively influencing hatchery returns in the subsequent brood year. The effect of hatchery releases on subsequent brood year Indian River abundances was not found to be statistically significant for either run, in both cases a convincing majority of bootstrapped parameter estimates were positive (94.2% in even-year runs, and 92% in odd-year runs). This falls short of the 95% confidence threshold, it is worth considering the implications of a small but positive true effect of hatchery releases on Indian River pink salmon abundance in the following brood year. For both runs, the effect of prior brood year Indian River abundances on current brood year hatchery returns is stronger than its inverse (Figure 6), but it is crucial to note that hatchery returns are greater than Indian River abundance much more often than not. This means that, if there exists a small but positive true effect of hatchery releases on subsequent brood year Indian River abundances, the overall numbers of fish straying to a non-origin site could be roughly equal or even skewed towards hatchery-born fish returning to Indian River. In those brood years where Indian River abundances exceed hatchery returns, </w:t>
      </w:r>
      <w:r>
        <w:lastRenderedPageBreak/>
        <w:t>these effect sizes imply that the following brood year will see more fish from Indian River returning to the hatchery than vice versa.</w:t>
      </w:r>
    </w:p>
    <w:p w14:paraId="5B459E09" w14:textId="1514AEFB" w:rsidR="005306BE" w:rsidRDefault="005306BE" w:rsidP="005306BE">
      <w:pPr>
        <w:spacing w:after="0" w:line="480" w:lineRule="auto"/>
        <w:ind w:firstLine="720"/>
      </w:pPr>
      <w:r>
        <w:t xml:space="preserve">In even years, Indian River salmon are not out of the ordinary relative to the wider region. No effect of the commencement of hatchery operations or the expansion of hatchery releases was associated with an increase in the numbers of spawning pink salmon at Indian River relative to the wider region (Figure 5). However, in even years, Indian River abundances were estimated to have a strong impact on pink salmon returning to the hatchery in the subsequent brood year, while an accompanying effect of hatchery releases on subsequent brood year Indian River abundances was not found to be statistically significant (Figure 6). </w:t>
      </w:r>
      <w:r w:rsidR="009754D5">
        <w:t xml:space="preserve">Even if there exists small but positive true effect of hatchery releases on subsequent brood year Indian River abundances in even-year runs, the difference between this effect and the relatively larger effect of Indian River abundances on pink salmon returning to the hatchery in the subsequent brood year is fairly large. This would imply that Indian River spawners would have to vastly outnumber hatchery releases in a given year in order for a net increase in Indian River abundance due to hatchery releases to occur in the following brood year. </w:t>
      </w:r>
      <w:r>
        <w:t>Taken together, these results imply there is little concern that even-year pink salmon abundances fall outside their natural range of variation at Indian River, and indeed seem to be significantly contributing to hatchery returns.</w:t>
      </w:r>
    </w:p>
    <w:p w14:paraId="18CC9B5C" w14:textId="77777777" w:rsidR="005306BE" w:rsidRDefault="005306BE" w:rsidP="005306BE">
      <w:pPr>
        <w:spacing w:after="0" w:line="480" w:lineRule="auto"/>
        <w:ind w:firstLine="720"/>
      </w:pPr>
      <w:r>
        <w:t xml:space="preserve">In odd years, MARSS models evaluated for best fit suggested that abundances at Indian River significantly differ in character from what would be expected of a similar stream in the region. However, similar to even-year runs, there was no effect of significance which associated Indian River pink salmon abundances with the commencement of hatchery operations or the </w:t>
      </w:r>
      <w:r>
        <w:lastRenderedPageBreak/>
        <w:t xml:space="preserve">expansion of hatchery releases. Also similar to even-year runs, odd-year Indian River abundances were estimated to have a significant effect on pink salmon returning to SJH in the subsequent brood year, although this effect was not as strong as its even-year counterpart (Figure 6). While indications exist that odd-year pink salmon abundance at Indian River do not fall within the natural range of variation expected throughout the wider region, there is no conclusive evidence that indicates this difference is being driven by SJH pink salmon releases. It may be that the gap between Indian River abundances and the regional expectation is due to the large differences observed in the first three decades of the time series (Figure 3). </w:t>
      </w:r>
    </w:p>
    <w:p w14:paraId="0FA6D895" w14:textId="551E2E95" w:rsidR="005306BE" w:rsidRDefault="005306BE" w:rsidP="005306BE">
      <w:pPr>
        <w:spacing w:after="0" w:line="480" w:lineRule="auto"/>
      </w:pPr>
      <w:r>
        <w:tab/>
        <w:t xml:space="preserve">Being that the results of this work are intended first and foremost to provide management at SITK with a comprehensive description of both the impacts of SJH operations and of the population dynamics of pink salmon throughout the broader region, the implications of these findings and how they might inform the duties of park officials with respect to conservation must be considered. In even years, pink salmon abundances are in line with those observed at ‘pristine’ index streams nearby and thus increases in their spawning densities are likely still within the natural range of variation. This is not to say that concerns about hypoxia events are not still pressing, but the possibility exists that interceding on behalf of Indian River’s other resident species may run contrary to the natural state of even-year pink salmon. Available evidence suggests that there is likely no need for intervention to address even-year abundances. In odd years there exists more compelling evidence that hatchery releases of pink salmon could be exerting some influence over abundances at Indian River. It is not likely that the hatchery is the main driver of high pink salmon densities in odd years (spawning abundances of these fish have been on the rise throughout the region for decades), but there exists a greater possibility </w:t>
      </w:r>
      <w:r>
        <w:lastRenderedPageBreak/>
        <w:t>that hatchery fish may having some influence on abundances seen at Indian River than for even-year runs. Recall that in odd years, the effect of Indian River pink salmon abundance on hatchery returns in the subsequent brood year is lower than the effect observed in even years. If there exists some small but positive true effect of hatchery releases on subsequent brood year Indian River abundances, the difference between the magnitude of these effects in odd years would be far less than in even-years, meaning that odd-year Indian River abundances would be more susceptible to being inflated by hatchery releases. It is possible that limiting the number of SJH pink salmon moving into Indian River to spawn in odd years may be beneficial for maintaining the wild population in the park within their natural range of variation, but this is far from conclusive, and suggests the need for more consistent otolith sampling of odd-year Indian River spawners in order to further understand the impact of SJH releases.</w:t>
      </w:r>
    </w:p>
    <w:p w14:paraId="6ABAA840" w14:textId="4639ADD8" w:rsidR="00306AE3" w:rsidRDefault="005306BE" w:rsidP="005306BE">
      <w:pPr>
        <w:spacing w:after="0" w:line="480" w:lineRule="auto"/>
      </w:pPr>
      <w:r>
        <w:tab/>
        <w:t>It is clear from this research that determining the point at which a native species becomes overabundant is not a simple task. In the case of pink salmon at Indian River, this task is made additionally complicated by the fact there two populations inhabiting the same environment (odd- and even-year runs) with potentially different life histories and characteristics. When assessing whether or not the overabundance of a native species in an ecosystem might be driven by some anthropogenic intervention requires the consideration not only of that particular population in time, but also the consideration of relevant populations of the same species that have not been exposed to the same intervention (although this may not always be possible).</w:t>
      </w:r>
      <w:r w:rsidR="00306AE3">
        <w:br w:type="page"/>
      </w:r>
    </w:p>
    <w:p w14:paraId="1D804AAF" w14:textId="77777777" w:rsidR="000F7853" w:rsidRPr="00B81603" w:rsidRDefault="000F7853" w:rsidP="000F7853">
      <w:pPr>
        <w:spacing w:line="240" w:lineRule="auto"/>
        <w:rPr>
          <w:b/>
          <w:bCs/>
        </w:rPr>
      </w:pPr>
      <w:r w:rsidRPr="00B81603">
        <w:rPr>
          <w:b/>
          <w:bCs/>
        </w:rPr>
        <w:lastRenderedPageBreak/>
        <w:t>References</w:t>
      </w:r>
    </w:p>
    <w:p w14:paraId="5DBDF077" w14:textId="77777777" w:rsidR="000F7853" w:rsidRDefault="000F7853" w:rsidP="000F7853">
      <w:pPr>
        <w:spacing w:line="240" w:lineRule="auto"/>
        <w:ind w:left="720" w:hanging="720"/>
      </w:pPr>
      <w:r>
        <w:t xml:space="preserve">Alaska Department of Fish and Game. 2024a. Commercial Salmon Fisheries – Southeast Alaska &amp; Yakutat Research: Pink Salmon. Available at: </w:t>
      </w:r>
      <w:hyperlink r:id="rId10" w:history="1">
        <w:r w:rsidRPr="007B1A5E">
          <w:rPr>
            <w:rStyle w:val="Hyperlink"/>
          </w:rPr>
          <w:t>https://www.adfg.alaska.gov/index.cfm?adfg=commercialbyareasoutheast.salmon_research_pink</w:t>
        </w:r>
      </w:hyperlink>
      <w:r>
        <w:t xml:space="preserve"> (accessed December 14, 2024)</w:t>
      </w:r>
    </w:p>
    <w:p w14:paraId="5ABEFDB7" w14:textId="77777777" w:rsidR="000F7853" w:rsidRDefault="000F7853" w:rsidP="000F7853">
      <w:pPr>
        <w:spacing w:line="240" w:lineRule="auto"/>
        <w:ind w:left="720" w:hanging="720"/>
      </w:pPr>
      <w:r>
        <w:t xml:space="preserve">Alaska Department of Fish and Game. 2024b. Mark Recovery Laboratory – Otolith Marking. Available at: </w:t>
      </w:r>
      <w:hyperlink r:id="rId11" w:history="1">
        <w:r w:rsidRPr="007B1A5E">
          <w:rPr>
            <w:rStyle w:val="Hyperlink"/>
          </w:rPr>
          <w:t>https://mtalab.adfg.alaska.gov/OTO/marking.aspx</w:t>
        </w:r>
      </w:hyperlink>
      <w:r>
        <w:t xml:space="preserve"> (accessed December 14, 2024)</w:t>
      </w:r>
    </w:p>
    <w:p w14:paraId="6C183250" w14:textId="43A5AF1F" w:rsidR="000F7853" w:rsidRDefault="000F7853" w:rsidP="000F7853">
      <w:pPr>
        <w:spacing w:line="240" w:lineRule="auto"/>
        <w:ind w:left="720" w:hanging="720"/>
      </w:pPr>
      <w:r>
        <w:t xml:space="preserve">Beckett, K., E. Elle, C. Kremen, A. Sherwood, S. McComb, </w:t>
      </w:r>
      <w:r w:rsidR="00A928CA">
        <w:t>and</w:t>
      </w:r>
      <w:r w:rsidR="009B7CF2">
        <w:t xml:space="preserve"> </w:t>
      </w:r>
      <w:r>
        <w:t xml:space="preserve">T. G. Martin. 2022. Hyperabundant black-tailed deer impact endangered Garry oak ecosystem floral and bumblebee communities. </w:t>
      </w:r>
      <w:r>
        <w:rPr>
          <w:i/>
          <w:iCs/>
        </w:rPr>
        <w:t>Global Ecology and Conservation</w:t>
      </w:r>
      <w:r>
        <w:t xml:space="preserve"> 38: 14pp.</w:t>
      </w:r>
    </w:p>
    <w:p w14:paraId="631C26BB" w14:textId="3B934B1D" w:rsidR="00AC48BB" w:rsidRPr="00AC48BB" w:rsidRDefault="00AC48BB" w:rsidP="000F7853">
      <w:pPr>
        <w:spacing w:line="240" w:lineRule="auto"/>
        <w:ind w:left="720" w:hanging="720"/>
      </w:pPr>
      <w:r>
        <w:t xml:space="preserve">Berejikian, B. A., M. J. Malick, J. Lee-Waltermire, M. R. Downen, K. K. Shelby, R. Endicott, </w:t>
      </w:r>
      <w:r w:rsidR="00A928CA">
        <w:t>and</w:t>
      </w:r>
      <w:r>
        <w:t xml:space="preserve"> A. Batista. 2025. Conservation hatchery effects on the abundance and spawn timing of natural steelhead populations: a replicated before-after-control-impact experiment in the Hood Canal watershed. </w:t>
      </w:r>
      <w:r>
        <w:rPr>
          <w:i/>
          <w:iCs/>
        </w:rPr>
        <w:t>Canadian Journal of Fisheries and Aquatic Sciences</w:t>
      </w:r>
      <w:r>
        <w:t xml:space="preserve"> 82: 1-16.</w:t>
      </w:r>
    </w:p>
    <w:p w14:paraId="35989E02" w14:textId="1819DB56" w:rsidR="00FE133B" w:rsidRDefault="00FE133B" w:rsidP="000F7853">
      <w:pPr>
        <w:spacing w:line="240" w:lineRule="auto"/>
        <w:ind w:left="720" w:hanging="720"/>
        <w:rPr>
          <w:ins w:id="48" w:author="Brian E McGreal" w:date="2026-03-27T09:38:00Z" w16du:dateUtc="2026-03-27T16:38:00Z"/>
        </w:rPr>
      </w:pPr>
      <w:r w:rsidRPr="00FE133B">
        <w:t xml:space="preserve">Burnham, K. P., </w:t>
      </w:r>
      <w:r w:rsidR="00A928CA">
        <w:t>and</w:t>
      </w:r>
      <w:r w:rsidRPr="00FE133B">
        <w:t> </w:t>
      </w:r>
      <w:r w:rsidR="00BB43D3" w:rsidRPr="00FE133B">
        <w:t>D. R.</w:t>
      </w:r>
      <w:r w:rsidR="00BB43D3">
        <w:t xml:space="preserve"> </w:t>
      </w:r>
      <w:r w:rsidRPr="00FE133B">
        <w:t>Anderson</w:t>
      </w:r>
      <w:r w:rsidR="00BB43D3">
        <w:t>.</w:t>
      </w:r>
      <w:r w:rsidRPr="00FE133B">
        <w:t> 2002. </w:t>
      </w:r>
      <w:r w:rsidRPr="00FE133B">
        <w:rPr>
          <w:i/>
          <w:iCs/>
        </w:rPr>
        <w:t>Model selection and multimodel inference: A practical information-theoretic approach</w:t>
      </w:r>
      <w:r w:rsidRPr="00FE133B">
        <w:t>, </w:t>
      </w:r>
      <w:r w:rsidRPr="00BB43D3">
        <w:rPr>
          <w:i/>
          <w:iCs/>
        </w:rPr>
        <w:t>2nd ed</w:t>
      </w:r>
      <w:r w:rsidRPr="00FE133B">
        <w:t>. </w:t>
      </w:r>
      <w:r w:rsidR="00BB43D3" w:rsidRPr="00BB43D3">
        <w:t>Springer-Verlag</w:t>
      </w:r>
      <w:r w:rsidR="00BB43D3">
        <w:t xml:space="preserve">, </w:t>
      </w:r>
      <w:r w:rsidR="00BB43D3" w:rsidRPr="00BB43D3">
        <w:t>488</w:t>
      </w:r>
      <w:r w:rsidR="00BB43D3">
        <w:t xml:space="preserve"> pp.</w:t>
      </w:r>
    </w:p>
    <w:p w14:paraId="3F4CC29F" w14:textId="752A3A57" w:rsidR="009D55B2" w:rsidRPr="00E66FA7" w:rsidRDefault="009D55B2" w:rsidP="009D55B2">
      <w:pPr>
        <w:spacing w:line="240" w:lineRule="auto"/>
        <w:ind w:left="720" w:hanging="720"/>
      </w:pPr>
      <w:ins w:id="49" w:author="Brian E McGreal" w:date="2026-03-27T09:38:00Z" w16du:dateUtc="2026-03-27T16:38:00Z">
        <w:r>
          <w:t xml:space="preserve">Burnham, K. P., D. R. Anderson, </w:t>
        </w:r>
      </w:ins>
      <w:r w:rsidR="00A928CA">
        <w:t>and</w:t>
      </w:r>
      <w:r w:rsidR="009B7CF2">
        <w:t xml:space="preserve"> </w:t>
      </w:r>
      <w:ins w:id="50" w:author="Brian E McGreal" w:date="2026-03-27T09:38:00Z" w16du:dateUtc="2026-03-27T16:38:00Z">
        <w:r>
          <w:t xml:space="preserve">K. P. Huyvaert. 2010. AIC model selection and multimodal interference in behavioral ecology: some background, observations, and comparisons. </w:t>
        </w:r>
        <w:r>
          <w:rPr>
            <w:i/>
            <w:iCs/>
          </w:rPr>
          <w:t xml:space="preserve">Behavioral Ecology and Sociobiology </w:t>
        </w:r>
        <w:r>
          <w:t>65: 23-35.</w:t>
        </w:r>
      </w:ins>
    </w:p>
    <w:p w14:paraId="774F2949" w14:textId="77777777" w:rsidR="000F7853" w:rsidRDefault="000F7853" w:rsidP="000F7853">
      <w:pPr>
        <w:spacing w:line="240" w:lineRule="auto"/>
        <w:ind w:left="720" w:hanging="720"/>
      </w:pPr>
      <w:r>
        <w:t xml:space="preserve">Cunningham, S. 2021. </w:t>
      </w:r>
      <w:r>
        <w:rPr>
          <w:i/>
          <w:iCs/>
        </w:rPr>
        <w:t>Causal Inference: The Mixtape.</w:t>
      </w:r>
      <w:r>
        <w:t xml:space="preserve"> Yale University Press, 352 pp.</w:t>
      </w:r>
    </w:p>
    <w:p w14:paraId="32EFCA09" w14:textId="2FAA9FAC" w:rsidR="000F7853" w:rsidRPr="005A1537" w:rsidRDefault="000F7853" w:rsidP="000F7853">
      <w:pPr>
        <w:spacing w:line="240" w:lineRule="auto"/>
        <w:ind w:left="720" w:hanging="720"/>
      </w:pPr>
      <w:r>
        <w:t xml:space="preserve">Ellison, A. M., M. S. Bank, B. D. Clinton, E. A. Colburn, K. Elliott, C. R. Ford, D. R. Foster, B. D. Kloeppel, J. D. Knoepp, G. M. Lovett, J. Mohan, D. A. Orwig, N. L. Rodenhouse, W. V. Sobczak, K. A. Stinson, J. K. Stone, C. M. Swan, J. Thompson, B. von Holle, </w:t>
      </w:r>
      <w:r w:rsidR="00A928CA">
        <w:t>and</w:t>
      </w:r>
      <w:r w:rsidR="009B7CF2">
        <w:t xml:space="preserve"> </w:t>
      </w:r>
      <w:r>
        <w:t xml:space="preserve">J. R. Webster. 2005. Loss of foundation species: consequences for the structure and dynamics of forested ecosystems. </w:t>
      </w:r>
      <w:r>
        <w:rPr>
          <w:i/>
          <w:iCs/>
        </w:rPr>
        <w:t>Frontiers in Ecology and the Environment</w:t>
      </w:r>
      <w:r>
        <w:t xml:space="preserve"> 3(9): 479-486.</w:t>
      </w:r>
    </w:p>
    <w:p w14:paraId="34268021" w14:textId="3BC2E239" w:rsidR="000F7853" w:rsidRDefault="000F7853" w:rsidP="000F7853">
      <w:pPr>
        <w:spacing w:line="240" w:lineRule="auto"/>
        <w:ind w:left="720" w:hanging="720"/>
      </w:pPr>
      <w:r>
        <w:t xml:space="preserve">Gende, S. </w:t>
      </w:r>
      <w:r w:rsidR="00A928CA">
        <w:t>and</w:t>
      </w:r>
      <w:r>
        <w:t xml:space="preserve"> B. Carter. 2015. </w:t>
      </w:r>
      <w:r w:rsidRPr="00942C32">
        <w:rPr>
          <w:i/>
          <w:iCs/>
        </w:rPr>
        <w:t>Straying rates of pink salmon into the Indian River, Sitka National Historical Park. Final Report – ADF&amp;G Permit # SF2015-225.</w:t>
      </w:r>
      <w:r>
        <w:t xml:space="preserve"> National Park Service, 11 pp.</w:t>
      </w:r>
    </w:p>
    <w:p w14:paraId="440E490E" w14:textId="6352FEF6" w:rsidR="000F7853" w:rsidRDefault="000F7853" w:rsidP="000F7853">
      <w:pPr>
        <w:spacing w:line="240" w:lineRule="auto"/>
        <w:ind w:left="720" w:hanging="720"/>
      </w:pPr>
      <w:r>
        <w:t xml:space="preserve">Gibson, K., K. Skov, S. Kegley, C. Jorgensen, S. Smith, </w:t>
      </w:r>
      <w:r w:rsidR="00A928CA">
        <w:t>and</w:t>
      </w:r>
      <w:r>
        <w:t xml:space="preserve"> J. Witcosky. 2008. </w:t>
      </w:r>
      <w:r w:rsidRPr="00DB7D2F">
        <w:t>Mountain Pine Beetle Impacts in High-Elevation Five-Needle Pines: Current Trends and Challenges.</w:t>
      </w:r>
      <w:r>
        <w:t xml:space="preserve"> USDA Forest Service – Forest Health Protection, 40 pp.</w:t>
      </w:r>
    </w:p>
    <w:p w14:paraId="73157A78" w14:textId="4DE02BE5" w:rsidR="000F7853" w:rsidRDefault="000F7853" w:rsidP="000F7853">
      <w:pPr>
        <w:spacing w:line="240" w:lineRule="auto"/>
        <w:ind w:left="720" w:hanging="720"/>
      </w:pPr>
      <w:r>
        <w:t xml:space="preserve">Gallardo, B., M. Clavero, M. I. Sánchez, </w:t>
      </w:r>
      <w:r w:rsidR="00A928CA">
        <w:t>and</w:t>
      </w:r>
      <w:r w:rsidR="009B7CF2">
        <w:t xml:space="preserve"> </w:t>
      </w:r>
      <w:r>
        <w:t xml:space="preserve">M. Vilà. 2015. Global ecological impacts of invasive species in aquatic ecosystems. </w:t>
      </w:r>
      <w:r>
        <w:rPr>
          <w:i/>
          <w:iCs/>
        </w:rPr>
        <w:t xml:space="preserve">Global Change Biology </w:t>
      </w:r>
      <w:r>
        <w:t>22(1): 151-163.</w:t>
      </w:r>
    </w:p>
    <w:p w14:paraId="29ADFE4E" w14:textId="27599AC6" w:rsidR="00723599" w:rsidRPr="005A1537" w:rsidRDefault="00723599" w:rsidP="00723599">
      <w:pPr>
        <w:spacing w:line="240" w:lineRule="auto"/>
        <w:ind w:left="720" w:hanging="720"/>
      </w:pPr>
      <w:r>
        <w:t>Heard, W. R. 1991. Life History of Pink Salmon (</w:t>
      </w:r>
      <w:r w:rsidRPr="00177F5D">
        <w:rPr>
          <w:i/>
          <w:iCs/>
        </w:rPr>
        <w:t>Oncorhynchus gorbuscha</w:t>
      </w:r>
      <w:r>
        <w:t xml:space="preserve">). Edited by Groot, C. and L. Margolis. </w:t>
      </w:r>
      <w:r>
        <w:rPr>
          <w:i/>
          <w:iCs/>
        </w:rPr>
        <w:t xml:space="preserve">Pacific Salmon Life Histories </w:t>
      </w:r>
      <w:r>
        <w:t xml:space="preserve">119-231.  UBC Press. </w:t>
      </w:r>
    </w:p>
    <w:p w14:paraId="1A084C60" w14:textId="282A0D82" w:rsidR="000F7853" w:rsidRDefault="000F7853" w:rsidP="000F7853">
      <w:pPr>
        <w:spacing w:line="240" w:lineRule="auto"/>
        <w:ind w:left="720" w:hanging="720"/>
      </w:pPr>
      <w:r>
        <w:t xml:space="preserve">Holmes, E. E., E. J. Ward, </w:t>
      </w:r>
      <w:r w:rsidR="00A928CA">
        <w:t>and</w:t>
      </w:r>
      <w:r>
        <w:t xml:space="preserve"> K. Wills. 2012. MARSS: Multivariate Autoregressive State-space Models for Analyzing Time-series Data. </w:t>
      </w:r>
      <w:r>
        <w:rPr>
          <w:i/>
          <w:iCs/>
        </w:rPr>
        <w:t>The R Journal</w:t>
      </w:r>
      <w:r>
        <w:t xml:space="preserve"> 4(1): 11-19.</w:t>
      </w:r>
    </w:p>
    <w:p w14:paraId="4B66BF3D" w14:textId="6ED9A891" w:rsidR="000F7853" w:rsidRPr="00CF7EB9" w:rsidRDefault="000F7853" w:rsidP="000F7853">
      <w:pPr>
        <w:spacing w:line="240" w:lineRule="auto"/>
        <w:ind w:left="720" w:hanging="720"/>
      </w:pPr>
      <w:r>
        <w:lastRenderedPageBreak/>
        <w:t xml:space="preserve">Jeschke, J. M., S. Bacher, T. M. Blackburn, J. T. A. Dick, F. Essl, T. Evans, M. Gaertner, P. E. Hulme, I. Kühn, A. Mrugala, J. Pergi, P. Pysek, W. Rabitsch, A. Ricciardi, D. M. Richardson, A. Sendek, M. Vilà, M. Winter, </w:t>
      </w:r>
      <w:r w:rsidR="00A928CA">
        <w:t xml:space="preserve">and </w:t>
      </w:r>
      <w:r>
        <w:t xml:space="preserve">S. Kumschick. 2014. Defining the Impact of Non-Native Species. </w:t>
      </w:r>
      <w:r>
        <w:rPr>
          <w:i/>
          <w:iCs/>
        </w:rPr>
        <w:t>Conservation Biology</w:t>
      </w:r>
      <w:r>
        <w:t xml:space="preserve"> 28(5): 1188-1194.</w:t>
      </w:r>
    </w:p>
    <w:p w14:paraId="3FC36220" w14:textId="597DA91B" w:rsidR="000F7853" w:rsidRDefault="000F7853" w:rsidP="000F7853">
      <w:pPr>
        <w:spacing w:line="240" w:lineRule="auto"/>
        <w:ind w:left="720" w:hanging="720"/>
      </w:pPr>
      <w:r>
        <w:t xml:space="preserve">Knudsen, E. E., P. S. Rand, K. B. Gorman, D. R. Bernard, </w:t>
      </w:r>
      <w:r w:rsidR="00A928CA">
        <w:t xml:space="preserve">and </w:t>
      </w:r>
      <w:r>
        <w:t xml:space="preserve">W. D. Templin. 2021. Hatchery-origin stray rates and total run characteristics for Pink Salmon and Chum Salmon returning to Prince William Sound, Alaska in 2013-2015. </w:t>
      </w:r>
      <w:r>
        <w:rPr>
          <w:i/>
          <w:iCs/>
        </w:rPr>
        <w:t xml:space="preserve">Marine and Coastal Fisheries </w:t>
      </w:r>
      <w:r>
        <w:t>13(1): 41-68.</w:t>
      </w:r>
    </w:p>
    <w:p w14:paraId="17D8264D" w14:textId="3049F5DE" w:rsidR="00734A33" w:rsidRPr="00734A33" w:rsidRDefault="00734A33" w:rsidP="000F7853">
      <w:pPr>
        <w:spacing w:line="240" w:lineRule="auto"/>
        <w:ind w:left="720" w:hanging="720"/>
      </w:pPr>
      <w:r>
        <w:t xml:space="preserve">Levin, P. S., and N. Tolimieri. 2001. Differences in the impacts of dams on the dynamics of salmon populations. </w:t>
      </w:r>
      <w:r>
        <w:rPr>
          <w:i/>
          <w:iCs/>
        </w:rPr>
        <w:t xml:space="preserve">Animal Conservation </w:t>
      </w:r>
      <w:r>
        <w:t>4(4): 291-299.</w:t>
      </w:r>
    </w:p>
    <w:p w14:paraId="45982CBB" w14:textId="279BDE97" w:rsidR="000F7853" w:rsidRDefault="000F7853" w:rsidP="000F7853">
      <w:pPr>
        <w:spacing w:line="240" w:lineRule="auto"/>
        <w:ind w:left="720" w:hanging="720"/>
      </w:pPr>
      <w:r>
        <w:t xml:space="preserve">Manhard, C. V., J. E. Joyce, W. W. Smoker, </w:t>
      </w:r>
      <w:r w:rsidR="00A928CA">
        <w:t>and</w:t>
      </w:r>
      <w:r>
        <w:t xml:space="preserve"> A. J. Gharrett. 2017. Ecological factors influencing lifetime productivity of pink salmon (</w:t>
      </w:r>
      <w:r w:rsidRPr="00177F5D">
        <w:rPr>
          <w:i/>
          <w:iCs/>
        </w:rPr>
        <w:t>Oncorhynchus gorbuscha</w:t>
      </w:r>
      <w:r>
        <w:t xml:space="preserve">) in an Alaskan stream. </w:t>
      </w:r>
      <w:r w:rsidRPr="00BA3D67">
        <w:rPr>
          <w:i/>
          <w:iCs/>
        </w:rPr>
        <w:t>Canadian Journal of Fisheries and Aquatic Sciences</w:t>
      </w:r>
      <w:r>
        <w:t xml:space="preserve"> 74(9): 1325-1336.</w:t>
      </w:r>
    </w:p>
    <w:p w14:paraId="7564DBA9" w14:textId="6BD9990B" w:rsidR="00AF5677" w:rsidRDefault="000F7853" w:rsidP="000F7853">
      <w:pPr>
        <w:spacing w:line="240" w:lineRule="auto"/>
        <w:ind w:left="720" w:hanging="720"/>
      </w:pPr>
      <w:r>
        <w:t xml:space="preserve">Mantua, N. J., S. R. Hare, Y. Zhang, J. M. Wallace, </w:t>
      </w:r>
      <w:r w:rsidR="00A928CA">
        <w:t>and</w:t>
      </w:r>
      <w:r>
        <w:t xml:space="preserve"> R. C. Francis. A Pacific Interdecadal Climate Oscillation with Impacts on Salmon Production. </w:t>
      </w:r>
      <w:r>
        <w:rPr>
          <w:i/>
          <w:iCs/>
        </w:rPr>
        <w:t>Bulletin of the American Meteorological Society</w:t>
      </w:r>
      <w:r>
        <w:t xml:space="preserve"> 78(6): 1069-1079.</w:t>
      </w:r>
    </w:p>
    <w:p w14:paraId="79F8EA3B" w14:textId="67867E8D" w:rsidR="000F7853" w:rsidRDefault="00AF5677" w:rsidP="00AF5677">
      <w:pPr>
        <w:spacing w:line="240" w:lineRule="auto"/>
        <w:ind w:left="720" w:hanging="720"/>
      </w:pPr>
      <w:r>
        <w:t xml:space="preserve">Mazerolle, M. 2006. Improving data analysis in herpetology: using Akaike’s Information Criterion (AIC) to assess the strength of biological hypotheses. </w:t>
      </w:r>
      <w:r>
        <w:rPr>
          <w:i/>
          <w:iCs/>
        </w:rPr>
        <w:t>Amphibia-Reptilia</w:t>
      </w:r>
      <w:r>
        <w:t xml:space="preserve"> 27: 169-180.</w:t>
      </w:r>
      <w:r w:rsidR="000F7853">
        <w:t xml:space="preserve">  </w:t>
      </w:r>
    </w:p>
    <w:p w14:paraId="5D3ED3A4" w14:textId="3EEE271A" w:rsidR="000F7853" w:rsidRDefault="000F7853" w:rsidP="000F7853">
      <w:pPr>
        <w:spacing w:line="240" w:lineRule="auto"/>
        <w:ind w:left="720" w:hanging="720"/>
      </w:pPr>
      <w:r>
        <w:t xml:space="preserve">Miller, K. M., S. J. Perles, J. P. Schmit, E. R. Matthews, A. S. Weed, J. A. Comiskey, M. R. Marshall, P. Nelson, </w:t>
      </w:r>
      <w:r w:rsidR="00A928CA">
        <w:t xml:space="preserve">and </w:t>
      </w:r>
      <w:r>
        <w:t xml:space="preserve">N. A. Fisichelli. 2023. </w:t>
      </w:r>
      <w:r w:rsidRPr="00656692">
        <w:t>Overabundant deer and invasive plants drive widespread regeneration debt in eastern United States national parks.</w:t>
      </w:r>
      <w:r>
        <w:t xml:space="preserve"> </w:t>
      </w:r>
      <w:r w:rsidRPr="00EF3D97">
        <w:rPr>
          <w:i/>
          <w:iCs/>
        </w:rPr>
        <w:t>Ecological Applications</w:t>
      </w:r>
      <w:r>
        <w:rPr>
          <w:i/>
          <w:iCs/>
        </w:rPr>
        <w:t xml:space="preserve"> </w:t>
      </w:r>
      <w:r>
        <w:t>33: 24pp.</w:t>
      </w:r>
    </w:p>
    <w:p w14:paraId="4E4A1E4F" w14:textId="3D6AEAD3" w:rsidR="000F7853" w:rsidRPr="00E66FA7" w:rsidRDefault="000F7853" w:rsidP="000F7853">
      <w:pPr>
        <w:spacing w:line="240" w:lineRule="auto"/>
        <w:ind w:left="720" w:hanging="720"/>
      </w:pPr>
      <w:r>
        <w:t xml:space="preserve">Moore, J. H., L. Gibson, Z. Amir, W. Chanthorn, A. H. Ahmad, P. A. Jansen, C. P. Mendes, M. Onuma, C. A. Peres, </w:t>
      </w:r>
      <w:r w:rsidR="00A928CA">
        <w:t xml:space="preserve">and </w:t>
      </w:r>
      <w:r>
        <w:t xml:space="preserve">M. S. Luskin. 2023. The rise of hyperabundant native generalists threatens both humans and nature. </w:t>
      </w:r>
      <w:r>
        <w:rPr>
          <w:i/>
          <w:iCs/>
        </w:rPr>
        <w:t>Biological Reviews</w:t>
      </w:r>
      <w:r>
        <w:t xml:space="preserve"> 98(5): 1829-1844.</w:t>
      </w:r>
    </w:p>
    <w:p w14:paraId="0C798D7A" w14:textId="77777777" w:rsidR="000F7853" w:rsidRDefault="000F7853" w:rsidP="000F7853">
      <w:pPr>
        <w:spacing w:line="240" w:lineRule="auto"/>
        <w:ind w:left="720" w:hanging="720"/>
      </w:pPr>
      <w:r>
        <w:t xml:space="preserve">National Park Service. 2025a. Organic Act of 1916. Available at: </w:t>
      </w:r>
      <w:hyperlink r:id="rId12" w:history="1">
        <w:r w:rsidRPr="00096DB2">
          <w:rPr>
            <w:rStyle w:val="Hyperlink"/>
          </w:rPr>
          <w:t>https://www.nps.gov/grba/learn/management/organic-act-of-1916.htm</w:t>
        </w:r>
      </w:hyperlink>
      <w:r>
        <w:t xml:space="preserve"> (accessed March 27, 2025)</w:t>
      </w:r>
    </w:p>
    <w:p w14:paraId="2E352D74" w14:textId="77777777" w:rsidR="000F7853" w:rsidRPr="00096DB2" w:rsidRDefault="000F7853" w:rsidP="000F7853">
      <w:pPr>
        <w:spacing w:line="240" w:lineRule="auto"/>
        <w:ind w:left="720" w:hanging="720"/>
        <w:rPr>
          <w:i/>
          <w:iCs/>
        </w:rPr>
      </w:pPr>
      <w:r>
        <w:t xml:space="preserve">National Park Service. 2025b. Sitka National Historical Park. Available at: </w:t>
      </w:r>
      <w:hyperlink r:id="rId13" w:history="1">
        <w:r w:rsidRPr="00096DB2">
          <w:rPr>
            <w:rStyle w:val="Hyperlink"/>
          </w:rPr>
          <w:t>https://www.nps.gov/sitk/index.htm</w:t>
        </w:r>
      </w:hyperlink>
      <w:r>
        <w:t xml:space="preserve"> (accessed March 18, 2025)</w:t>
      </w:r>
      <w:r>
        <w:rPr>
          <w:i/>
          <w:iCs/>
        </w:rPr>
        <w:t xml:space="preserve"> </w:t>
      </w:r>
    </w:p>
    <w:p w14:paraId="66E9863D" w14:textId="60D4039D" w:rsidR="00EF3D97" w:rsidRPr="00EF3D97" w:rsidRDefault="00EF3D97" w:rsidP="000F7853">
      <w:pPr>
        <w:spacing w:line="240" w:lineRule="auto"/>
        <w:ind w:left="720" w:hanging="720"/>
      </w:pPr>
      <w:r>
        <w:t xml:space="preserve">Pearsons, T. N., and T. W. Hillman. 2025. Costs and benefits of a multi-generation captive broodstock Chinook Salmon hatchery program. </w:t>
      </w:r>
      <w:r>
        <w:rPr>
          <w:i/>
          <w:iCs/>
        </w:rPr>
        <w:t xml:space="preserve">North American Journal of Fisheries Management </w:t>
      </w:r>
      <w:r>
        <w:t>45:402-419.</w:t>
      </w:r>
    </w:p>
    <w:p w14:paraId="491D9474" w14:textId="2194DCDB" w:rsidR="000F7853" w:rsidRDefault="000F7853" w:rsidP="000F7853">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0ED513C4" w14:textId="536A0569" w:rsidR="000F7853" w:rsidRDefault="000F7853" w:rsidP="000F7853">
      <w:pPr>
        <w:spacing w:line="240" w:lineRule="auto"/>
        <w:ind w:left="720" w:hanging="720"/>
      </w:pPr>
      <w:r>
        <w:t>Sambaraju, K. R.</w:t>
      </w:r>
      <w:r w:rsidR="00A928CA">
        <w:t xml:space="preserve"> and </w:t>
      </w:r>
      <w:r>
        <w:t xml:space="preserve"> D. W. Goodman. 2021. Mountain pine beetle: an example of a climate-driven eruptive insect impacting conifer forest ecosystems. </w:t>
      </w:r>
      <w:r>
        <w:rPr>
          <w:i/>
          <w:iCs/>
        </w:rPr>
        <w:t>CABI Reviews</w:t>
      </w:r>
      <w:r>
        <w:t>: 18pp.</w:t>
      </w:r>
    </w:p>
    <w:p w14:paraId="27B12705" w14:textId="061DCDF6" w:rsidR="00310948" w:rsidRDefault="00310948" w:rsidP="00310948">
      <w:pPr>
        <w:spacing w:line="240" w:lineRule="auto"/>
        <w:ind w:left="720" w:hanging="720"/>
      </w:pPr>
      <w:r>
        <w:lastRenderedPageBreak/>
        <w:t xml:space="preserve">Scheuerell, M. D., E. R. Buhle, B. X. Semmens, M. J. Ford, T. Cooney, </w:t>
      </w:r>
      <w:r w:rsidR="00A928CA">
        <w:t xml:space="preserve">and </w:t>
      </w:r>
      <w:r>
        <w:t xml:space="preserve">R. W. Carmichael. 2015. Analyzing large-scale conservation interventions with Bayesian hierarchical models: a case study of supplementing threated Pacific salmon. </w:t>
      </w:r>
      <w:r>
        <w:rPr>
          <w:i/>
          <w:iCs/>
        </w:rPr>
        <w:t xml:space="preserve">Ecology and Evolution </w:t>
      </w:r>
      <w:r>
        <w:t>5(10): 2115-2125.</w:t>
      </w:r>
    </w:p>
    <w:p w14:paraId="1F63EFB7" w14:textId="0637CE21" w:rsidR="000F7853" w:rsidRPr="005810E6" w:rsidRDefault="000F7853" w:rsidP="000F7853">
      <w:pPr>
        <w:spacing w:line="240" w:lineRule="auto"/>
        <w:ind w:left="720" w:hanging="720"/>
      </w:pPr>
      <w:r>
        <w:t xml:space="preserve">Sergeant, C. J., J. R. Bellmore, C. McConnell, </w:t>
      </w:r>
      <w:r w:rsidR="00A928CA">
        <w:t xml:space="preserve">and </w:t>
      </w:r>
      <w:r>
        <w:t xml:space="preserve">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57F00B15" w14:textId="735D6E81" w:rsidR="000F7853" w:rsidRDefault="000F7853" w:rsidP="000F7853">
      <w:pPr>
        <w:spacing w:line="240" w:lineRule="auto"/>
        <w:ind w:left="720" w:hanging="720"/>
      </w:pPr>
      <w:r>
        <w:t xml:space="preserve">Sergeant, C. J., J. R. Bellmore, R. A. Bellmore, J. A. Falke, F. J. Mueter, </w:t>
      </w:r>
      <w:r w:rsidR="00A928CA">
        <w:t>and</w:t>
      </w:r>
      <w:r>
        <w:t xml:space="preserve"> P. A. H. Westley. 2023. Hypoxia vulnerability in the salmon watersheds of Southeast Alaska. </w:t>
      </w:r>
      <w:r>
        <w:rPr>
          <w:i/>
          <w:iCs/>
        </w:rPr>
        <w:t xml:space="preserve">Science of the Total Environment </w:t>
      </w:r>
      <w:r>
        <w:t>896:</w:t>
      </w:r>
      <w:r w:rsidRPr="00C5517B">
        <w:t xml:space="preserve"> </w:t>
      </w:r>
      <w:r>
        <w:t>12pp.</w:t>
      </w:r>
    </w:p>
    <w:p w14:paraId="2EE60909" w14:textId="77777777" w:rsidR="000F7853" w:rsidRPr="008776F4" w:rsidRDefault="000F7853" w:rsidP="000F7853">
      <w:pPr>
        <w:spacing w:line="240" w:lineRule="auto"/>
        <w:ind w:left="720" w:hanging="720"/>
        <w:rPr>
          <w:i/>
          <w:iCs/>
        </w:rPr>
      </w:pPr>
      <w:r>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49F56108" w14:textId="77777777" w:rsidR="000F7853" w:rsidRDefault="000F7853" w:rsidP="000F7853">
      <w:pPr>
        <w:spacing w:line="240" w:lineRule="auto"/>
        <w:ind w:left="720" w:hanging="720"/>
      </w:pPr>
      <w:r>
        <w:t xml:space="preserve">Thornton, T. F. 1998. </w:t>
      </w:r>
      <w:r>
        <w:rPr>
          <w:i/>
          <w:iCs/>
        </w:rPr>
        <w:t>Traditional Tlingit Use of Sitka National Historical Park</w:t>
      </w:r>
      <w:r>
        <w:t>. National Park Service, 170 pp.</w:t>
      </w:r>
    </w:p>
    <w:p w14:paraId="659843AD" w14:textId="2A4273C3" w:rsidR="000F7853" w:rsidRDefault="000F7853" w:rsidP="000F7853">
      <w:pPr>
        <w:spacing w:line="240" w:lineRule="auto"/>
        <w:ind w:left="720" w:hanging="720"/>
      </w:pPr>
      <w:r>
        <w:t>Tillotson, M. D.</w:t>
      </w:r>
      <w:r w:rsidR="00A928CA">
        <w:t xml:space="preserve"> and</w:t>
      </w:r>
      <w:r>
        <w:t xml:space="preserve">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1D692089" w14:textId="77777777" w:rsidR="000F7853" w:rsidRDefault="000F7853" w:rsidP="000F7853">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Managemnt – Pacific Salmon,</w:t>
      </w:r>
      <w:r>
        <w:t xml:space="preserve"> 161-193. Lewis Publishers.</w:t>
      </w:r>
    </w:p>
    <w:p w14:paraId="04A20E53" w14:textId="5C64BEAE" w:rsidR="009C2CB3" w:rsidRDefault="009C2CB3" w:rsidP="00306AE3">
      <w:pPr>
        <w:spacing w:line="240" w:lineRule="auto"/>
        <w:ind w:left="720" w:hanging="720"/>
      </w:pPr>
    </w:p>
    <w:sectPr w:rsidR="009C2CB3" w:rsidSect="001E1CBF">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Brian E McGreal" w:date="2026-03-09T09:03:00Z" w:initials="BM">
    <w:p w14:paraId="7CB9D6C5" w14:textId="77777777" w:rsidR="009845B1" w:rsidRDefault="009845B1" w:rsidP="009845B1">
      <w:pPr>
        <w:pStyle w:val="CommentText"/>
      </w:pPr>
      <w:r>
        <w:rPr>
          <w:rStyle w:val="CommentReference"/>
        </w:rPr>
        <w:annotationRef/>
      </w:r>
      <w:r>
        <w:t>Adjust this from AK Park Science</w:t>
      </w:r>
    </w:p>
  </w:comment>
  <w:comment w:id="31" w:author="Brian E McGreal" w:date="2026-03-09T09:23:00Z" w:initials="BM">
    <w:p w14:paraId="3913DD12" w14:textId="77777777" w:rsidR="00226B01" w:rsidRDefault="00226B01" w:rsidP="00226B01">
      <w:pPr>
        <w:pStyle w:val="CommentText"/>
      </w:pPr>
      <w:r>
        <w:rPr>
          <w:rStyle w:val="CommentReference"/>
        </w:rPr>
        <w:annotationRef/>
      </w:r>
      <w:r>
        <w:t>I use this language above</w:t>
      </w:r>
    </w:p>
  </w:comment>
  <w:comment w:id="33" w:author="Brian McGreal" w:date="2026-03-24T16:49:00Z" w:initials="BM">
    <w:p w14:paraId="61FC6D56" w14:textId="2702966C" w:rsidR="009056D1" w:rsidRDefault="009056D1">
      <w:pPr>
        <w:pStyle w:val="CommentText"/>
      </w:pPr>
      <w:r>
        <w:rPr>
          <w:rStyle w:val="CommentReference"/>
        </w:rPr>
        <w:annotationRef/>
      </w:r>
      <w:r>
        <w:t>This sequence feels lame</w:t>
      </w:r>
    </w:p>
  </w:comment>
  <w:comment w:id="34" w:author="Brian McGreal" w:date="2026-03-30T12:41:00Z" w:initials="BM">
    <w:p w14:paraId="5FCED028" w14:textId="36CA80ED" w:rsidR="00A2387C" w:rsidRDefault="00A2387C">
      <w:pPr>
        <w:pStyle w:val="CommentText"/>
      </w:pPr>
      <w:r>
        <w:rPr>
          <w:rStyle w:val="CommentReference"/>
        </w:rPr>
        <w:annotationRef/>
      </w:r>
      <w:r>
        <w:t>Weird sentence</w:t>
      </w:r>
    </w:p>
  </w:comment>
  <w:comment w:id="37" w:author="Mark Scheuerell" w:date="2026-03-06T06:22:00Z" w:initials="s">
    <w:p w14:paraId="57FEDFCD" w14:textId="5FA3002A" w:rsidR="00205B63" w:rsidRDefault="00205B63">
      <w:pPr>
        <w:pStyle w:val="CommentText"/>
      </w:pPr>
      <w:r>
        <w:rPr>
          <w:rStyle w:val="CommentReference"/>
        </w:rPr>
        <w:annotationRef/>
      </w:r>
      <w:r>
        <w:t>This seems repeated from the intro</w:t>
      </w:r>
    </w:p>
  </w:comment>
  <w:comment w:id="38" w:author="Brian McGreal" w:date="2026-03-30T12:26:00Z" w:initials="BM">
    <w:p w14:paraId="6BD11D19" w14:textId="399304D7" w:rsidR="00F275C7" w:rsidRDefault="00F275C7">
      <w:pPr>
        <w:pStyle w:val="CommentText"/>
      </w:pPr>
      <w:r>
        <w:rPr>
          <w:rStyle w:val="CommentReference"/>
        </w:rPr>
        <w:annotationRef/>
      </w:r>
      <w:r>
        <w:t>I don’t see where this is discussed. I can add it into the intro.</w:t>
      </w:r>
    </w:p>
  </w:comment>
  <w:comment w:id="35" w:author="Mark Scheuerell" w:date="2026-03-06T06:28:00Z" w:initials="s">
    <w:p w14:paraId="1D25BEBF" w14:textId="785E54FF" w:rsidR="009B5B49" w:rsidRDefault="009B5B49">
      <w:pPr>
        <w:pStyle w:val="CommentText"/>
      </w:pPr>
      <w:r>
        <w:rPr>
          <w:rStyle w:val="CommentReference"/>
        </w:rPr>
        <w:annotationRef/>
      </w:r>
      <w:r>
        <w:t>Now that I read the following paragraph, I think these could be deleted.</w:t>
      </w:r>
    </w:p>
  </w:comment>
  <w:comment w:id="36" w:author="Brian McGreal" w:date="2026-03-30T12:26:00Z" w:initials="BM">
    <w:p w14:paraId="5D9E908C" w14:textId="2956738B" w:rsidR="00F275C7" w:rsidRDefault="00F275C7">
      <w:pPr>
        <w:pStyle w:val="CommentText"/>
      </w:pPr>
      <w:r>
        <w:rPr>
          <w:rStyle w:val="CommentReference"/>
        </w:rPr>
        <w:annotationRef/>
      </w:r>
      <w:r>
        <w:t>This seems important to me? We should discuss further..</w:t>
      </w:r>
    </w:p>
  </w:comment>
  <w:comment w:id="42" w:author="Brian McGreal" w:date="2026-03-30T14:58:00Z" w:initials="BM">
    <w:p w14:paraId="12ACF803" w14:textId="42ABB0A7" w:rsidR="00837571" w:rsidRDefault="00837571">
      <w:pPr>
        <w:pStyle w:val="CommentText"/>
      </w:pPr>
      <w:r>
        <w:rPr>
          <w:rStyle w:val="CommentReference"/>
        </w:rPr>
        <w:annotationRef/>
      </w:r>
      <w:r>
        <w:t>Does this language work? Or ‘regional expectation’?</w:t>
      </w:r>
    </w:p>
  </w:comment>
  <w:comment w:id="40" w:author="Mark Scheuerell" w:date="2026-03-07T09:07:00Z" w:initials="s">
    <w:p w14:paraId="462547C8" w14:textId="166BB18A" w:rsidR="009C0B82" w:rsidRDefault="009C0B82">
      <w:pPr>
        <w:pStyle w:val="CommentText"/>
      </w:pPr>
      <w:r>
        <w:rPr>
          <w:rStyle w:val="CommentReference"/>
        </w:rPr>
        <w:annotationRef/>
      </w:r>
      <w:r>
        <w:t>I’m not sure you can make these definitive statements based on z-scored data. I think you can speak in relative terms when comparing the estimated states. What do the raw data show with respect to actual densities (fish/km)?</w:t>
      </w:r>
    </w:p>
  </w:comment>
  <w:comment w:id="41" w:author="Brian McGreal" w:date="2026-03-30T14:45:00Z" w:initials="BM">
    <w:p w14:paraId="23F275B2" w14:textId="5DA66F39" w:rsidR="00F9527E" w:rsidRDefault="00F9527E">
      <w:pPr>
        <w:pStyle w:val="CommentText"/>
      </w:pPr>
      <w:r>
        <w:rPr>
          <w:rStyle w:val="CommentReference"/>
        </w:rPr>
        <w:annotationRef/>
      </w:r>
      <w:r>
        <w:t>I can back transform the Indian River state estimates into raw values, but because the state estimate related to the region is derived from 35 index streams, I don’t have a single mean/sd to apply to those values..</w:t>
      </w:r>
    </w:p>
  </w:comment>
  <w:comment w:id="44" w:author="Brian McGreal" w:date="2026-03-30T15:05:00Z" w:initials="BM">
    <w:p w14:paraId="090708CA" w14:textId="463CCD79" w:rsidR="001B7645" w:rsidRDefault="001B7645">
      <w:pPr>
        <w:pStyle w:val="CommentText"/>
      </w:pPr>
      <w:r>
        <w:rPr>
          <w:rStyle w:val="CommentReference"/>
        </w:rPr>
        <w:annotationRef/>
      </w:r>
      <w:r>
        <w:t>Here again</w:t>
      </w:r>
    </w:p>
  </w:comment>
  <w:comment w:id="43" w:author="Mark Scheuerell" w:date="2026-03-07T09:11:00Z" w:initials="s">
    <w:p w14:paraId="38DE934D" w14:textId="75BBD858" w:rsidR="00A227BE" w:rsidRDefault="00A227BE">
      <w:pPr>
        <w:pStyle w:val="CommentText"/>
      </w:pPr>
      <w:r>
        <w:rPr>
          <w:rStyle w:val="CommentReference"/>
        </w:rPr>
        <w:annotationRef/>
      </w:r>
      <w:r>
        <w:t>These statements also seem to be based on the z-scored states. If you want to stick with this, I think you’ll have to discuss differences in terms of SD’s (eg, “site 1 was ~2 SD’s greater than site 2”)</w:t>
      </w:r>
    </w:p>
  </w:comment>
  <w:comment w:id="46" w:author="Brian McGreal" w:date="2026-04-01T12:38:00Z" w:initials="BM">
    <w:p w14:paraId="749D68C0" w14:textId="0B903244" w:rsidR="00B07643" w:rsidRDefault="00B07643">
      <w:pPr>
        <w:pStyle w:val="CommentText"/>
      </w:pPr>
      <w:r>
        <w:rPr>
          <w:rStyle w:val="CommentReference"/>
        </w:rPr>
        <w:annotationRef/>
      </w:r>
      <w:r>
        <w:t>Can I still say this stuff? Even though the one effect is not significant?</w:t>
      </w:r>
    </w:p>
  </w:comment>
  <w:comment w:id="47" w:author="Mark Scheuerell" w:date="2026-03-07T10:13:00Z" w:initials="s">
    <w:p w14:paraId="4953AF7F" w14:textId="77777777" w:rsidR="005306BE" w:rsidRDefault="005306BE">
      <w:pPr>
        <w:pStyle w:val="CommentText"/>
      </w:pPr>
      <w:r>
        <w:rPr>
          <w:rStyle w:val="CommentReference"/>
        </w:rPr>
        <w:annotationRef/>
      </w:r>
      <w:r>
        <w:t>Recall that the discussion section is where you also frame your results within the broader literature, and I don’t see any citations to other work here. What sort of effects do hatcheries in other areas have? Are their differences among other species? Conservation hatcheries intentionally outplant juveniles to other areas they’d like them to return. Are there any lessons or comparisons to draw from those? You should also return to the non-salmon examples you bring up in the intro. Can we gain any insights from them or extend inference from this study to them?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B9D6C5" w15:done="0"/>
  <w15:commentEx w15:paraId="3913DD12" w15:done="0"/>
  <w15:commentEx w15:paraId="61FC6D56" w15:done="0"/>
  <w15:commentEx w15:paraId="5FCED028" w15:done="0"/>
  <w15:commentEx w15:paraId="57FEDFCD" w15:done="0"/>
  <w15:commentEx w15:paraId="6BD11D19" w15:paraIdParent="57FEDFCD" w15:done="0"/>
  <w15:commentEx w15:paraId="1D25BEBF" w15:done="0"/>
  <w15:commentEx w15:paraId="5D9E908C" w15:paraIdParent="1D25BEBF" w15:done="0"/>
  <w15:commentEx w15:paraId="12ACF803" w15:done="0"/>
  <w15:commentEx w15:paraId="462547C8" w15:done="0"/>
  <w15:commentEx w15:paraId="23F275B2" w15:paraIdParent="462547C8" w15:done="0"/>
  <w15:commentEx w15:paraId="090708CA" w15:done="0"/>
  <w15:commentEx w15:paraId="38DE934D" w15:done="0"/>
  <w15:commentEx w15:paraId="749D68C0" w15:done="0"/>
  <w15:commentEx w15:paraId="4953AF7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140219" w16cex:dateUtc="2026-03-09T16:03:00Z"/>
  <w16cex:commentExtensible w16cex:durableId="08D800E2" w16cex:dateUtc="2026-03-09T16:23:00Z"/>
  <w16cex:commentExtensible w16cex:durableId="502D5DF3" w16cex:dateUtc="2026-03-24T23:49:00Z"/>
  <w16cex:commentExtensible w16cex:durableId="023D634E" w16cex:dateUtc="2026-03-30T19:41:00Z"/>
  <w16cex:commentExtensible w16cex:durableId="588C617E" w16cex:dateUtc="2026-03-06T14:22:00Z"/>
  <w16cex:commentExtensible w16cex:durableId="0DBE9D12" w16cex:dateUtc="2026-03-30T19:26:00Z"/>
  <w16cex:commentExtensible w16cex:durableId="4F05BC0A" w16cex:dateUtc="2026-03-06T14:28:00Z"/>
  <w16cex:commentExtensible w16cex:durableId="27350D5D" w16cex:dateUtc="2026-03-30T19:26:00Z"/>
  <w16cex:commentExtensible w16cex:durableId="50C632B6" w16cex:dateUtc="2026-03-30T21:58:00Z"/>
  <w16cex:commentExtensible w16cex:durableId="206F53A5" w16cex:dateUtc="2026-03-07T17:07:00Z"/>
  <w16cex:commentExtensible w16cex:durableId="44C801D1" w16cex:dateUtc="2026-03-30T21:45:00Z"/>
  <w16cex:commentExtensible w16cex:durableId="32D3276B" w16cex:dateUtc="2026-03-30T22:05:00Z"/>
  <w16cex:commentExtensible w16cex:durableId="443E45A5" w16cex:dateUtc="2026-03-07T17:11:00Z"/>
  <w16cex:commentExtensible w16cex:durableId="0F2004AB" w16cex:dateUtc="2026-04-01T19:38:00Z"/>
  <w16cex:commentExtensible w16cex:durableId="4E6740D1" w16cex:dateUtc="2026-03-07T18: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B9D6C5" w16cid:durableId="68140219"/>
  <w16cid:commentId w16cid:paraId="3913DD12" w16cid:durableId="08D800E2"/>
  <w16cid:commentId w16cid:paraId="61FC6D56" w16cid:durableId="502D5DF3"/>
  <w16cid:commentId w16cid:paraId="5FCED028" w16cid:durableId="023D634E"/>
  <w16cid:commentId w16cid:paraId="57FEDFCD" w16cid:durableId="588C617E"/>
  <w16cid:commentId w16cid:paraId="6BD11D19" w16cid:durableId="0DBE9D12"/>
  <w16cid:commentId w16cid:paraId="1D25BEBF" w16cid:durableId="4F05BC0A"/>
  <w16cid:commentId w16cid:paraId="5D9E908C" w16cid:durableId="27350D5D"/>
  <w16cid:commentId w16cid:paraId="12ACF803" w16cid:durableId="50C632B6"/>
  <w16cid:commentId w16cid:paraId="462547C8" w16cid:durableId="206F53A5"/>
  <w16cid:commentId w16cid:paraId="23F275B2" w16cid:durableId="44C801D1"/>
  <w16cid:commentId w16cid:paraId="090708CA" w16cid:durableId="32D3276B"/>
  <w16cid:commentId w16cid:paraId="38DE934D" w16cid:durableId="443E45A5"/>
  <w16cid:commentId w16cid:paraId="749D68C0" w16cid:durableId="0F2004AB"/>
  <w16cid:commentId w16cid:paraId="4953AF7F" w16cid:durableId="4E6740D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rson w15:author="Mark Scheuerell">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44435"/>
    <w:rsid w:val="00060EB8"/>
    <w:rsid w:val="0006107E"/>
    <w:rsid w:val="00062BCE"/>
    <w:rsid w:val="00070D06"/>
    <w:rsid w:val="00086DA1"/>
    <w:rsid w:val="00090DA1"/>
    <w:rsid w:val="00096995"/>
    <w:rsid w:val="00097C72"/>
    <w:rsid w:val="000A0753"/>
    <w:rsid w:val="000C6459"/>
    <w:rsid w:val="000D21FB"/>
    <w:rsid w:val="000F7853"/>
    <w:rsid w:val="00106EE6"/>
    <w:rsid w:val="001111B6"/>
    <w:rsid w:val="00112BBF"/>
    <w:rsid w:val="00114A77"/>
    <w:rsid w:val="00121CF4"/>
    <w:rsid w:val="001262D0"/>
    <w:rsid w:val="00143CB9"/>
    <w:rsid w:val="001509D8"/>
    <w:rsid w:val="001A405D"/>
    <w:rsid w:val="001A6AA2"/>
    <w:rsid w:val="001B7645"/>
    <w:rsid w:val="001D457C"/>
    <w:rsid w:val="001D51EA"/>
    <w:rsid w:val="001D5683"/>
    <w:rsid w:val="001D716E"/>
    <w:rsid w:val="001E1CBF"/>
    <w:rsid w:val="001E29F4"/>
    <w:rsid w:val="001F775B"/>
    <w:rsid w:val="001F7F26"/>
    <w:rsid w:val="00205B63"/>
    <w:rsid w:val="00207CF5"/>
    <w:rsid w:val="00223722"/>
    <w:rsid w:val="00226B01"/>
    <w:rsid w:val="00232D52"/>
    <w:rsid w:val="00246989"/>
    <w:rsid w:val="00252296"/>
    <w:rsid w:val="002657D1"/>
    <w:rsid w:val="0029325E"/>
    <w:rsid w:val="002A355E"/>
    <w:rsid w:val="002A4213"/>
    <w:rsid w:val="002B1614"/>
    <w:rsid w:val="002D28DF"/>
    <w:rsid w:val="002D76A3"/>
    <w:rsid w:val="002E34E7"/>
    <w:rsid w:val="00303024"/>
    <w:rsid w:val="00306AE3"/>
    <w:rsid w:val="00310948"/>
    <w:rsid w:val="00321B88"/>
    <w:rsid w:val="0033098E"/>
    <w:rsid w:val="00336763"/>
    <w:rsid w:val="00344905"/>
    <w:rsid w:val="00351AE4"/>
    <w:rsid w:val="003542B1"/>
    <w:rsid w:val="003633DB"/>
    <w:rsid w:val="00376A4E"/>
    <w:rsid w:val="003772FF"/>
    <w:rsid w:val="00391B74"/>
    <w:rsid w:val="003B4882"/>
    <w:rsid w:val="003B6985"/>
    <w:rsid w:val="003C5745"/>
    <w:rsid w:val="003C6E79"/>
    <w:rsid w:val="003C77AC"/>
    <w:rsid w:val="003D1E65"/>
    <w:rsid w:val="003D5D39"/>
    <w:rsid w:val="00402DA4"/>
    <w:rsid w:val="00412816"/>
    <w:rsid w:val="00414541"/>
    <w:rsid w:val="004217D3"/>
    <w:rsid w:val="00421CE7"/>
    <w:rsid w:val="00427DB5"/>
    <w:rsid w:val="004327DF"/>
    <w:rsid w:val="00460B8F"/>
    <w:rsid w:val="00494B76"/>
    <w:rsid w:val="004A1DBD"/>
    <w:rsid w:val="004B019B"/>
    <w:rsid w:val="004C58F2"/>
    <w:rsid w:val="004F779B"/>
    <w:rsid w:val="005078EE"/>
    <w:rsid w:val="005227E4"/>
    <w:rsid w:val="005306BE"/>
    <w:rsid w:val="005363D0"/>
    <w:rsid w:val="005565C2"/>
    <w:rsid w:val="00572D2B"/>
    <w:rsid w:val="00574432"/>
    <w:rsid w:val="00576D64"/>
    <w:rsid w:val="00597FAB"/>
    <w:rsid w:val="005B1667"/>
    <w:rsid w:val="005B1CFB"/>
    <w:rsid w:val="005B3ACD"/>
    <w:rsid w:val="005B7404"/>
    <w:rsid w:val="005C24C4"/>
    <w:rsid w:val="005C4DB8"/>
    <w:rsid w:val="005D4C4C"/>
    <w:rsid w:val="005D5E6A"/>
    <w:rsid w:val="005F56EA"/>
    <w:rsid w:val="005F6F08"/>
    <w:rsid w:val="006002FE"/>
    <w:rsid w:val="00606257"/>
    <w:rsid w:val="00606949"/>
    <w:rsid w:val="00612D9D"/>
    <w:rsid w:val="00614E66"/>
    <w:rsid w:val="006178EC"/>
    <w:rsid w:val="00625D54"/>
    <w:rsid w:val="00626338"/>
    <w:rsid w:val="00633AFA"/>
    <w:rsid w:val="00647DF2"/>
    <w:rsid w:val="00666290"/>
    <w:rsid w:val="00670218"/>
    <w:rsid w:val="00672EBC"/>
    <w:rsid w:val="00675815"/>
    <w:rsid w:val="006A0FFE"/>
    <w:rsid w:val="006B1A2E"/>
    <w:rsid w:val="006B5A94"/>
    <w:rsid w:val="006C6D25"/>
    <w:rsid w:val="006D7969"/>
    <w:rsid w:val="006E0493"/>
    <w:rsid w:val="006E6B42"/>
    <w:rsid w:val="00716B1F"/>
    <w:rsid w:val="00723599"/>
    <w:rsid w:val="00731AF8"/>
    <w:rsid w:val="00734A33"/>
    <w:rsid w:val="00740E18"/>
    <w:rsid w:val="00741B88"/>
    <w:rsid w:val="007635F3"/>
    <w:rsid w:val="00773DA7"/>
    <w:rsid w:val="00795151"/>
    <w:rsid w:val="007B0F67"/>
    <w:rsid w:val="007B55B0"/>
    <w:rsid w:val="007C003B"/>
    <w:rsid w:val="007C158F"/>
    <w:rsid w:val="007C46E2"/>
    <w:rsid w:val="007C5247"/>
    <w:rsid w:val="007F1518"/>
    <w:rsid w:val="007F5330"/>
    <w:rsid w:val="00802542"/>
    <w:rsid w:val="0080336B"/>
    <w:rsid w:val="00837571"/>
    <w:rsid w:val="00855FD8"/>
    <w:rsid w:val="0087213E"/>
    <w:rsid w:val="0087408B"/>
    <w:rsid w:val="008C0B8C"/>
    <w:rsid w:val="008C0E5E"/>
    <w:rsid w:val="008C144E"/>
    <w:rsid w:val="008C3130"/>
    <w:rsid w:val="008D0E15"/>
    <w:rsid w:val="008D1BFB"/>
    <w:rsid w:val="008D3168"/>
    <w:rsid w:val="008E583F"/>
    <w:rsid w:val="008E7DF4"/>
    <w:rsid w:val="008F33A8"/>
    <w:rsid w:val="009056D1"/>
    <w:rsid w:val="0091309E"/>
    <w:rsid w:val="0092693F"/>
    <w:rsid w:val="00931642"/>
    <w:rsid w:val="0093424C"/>
    <w:rsid w:val="0093781E"/>
    <w:rsid w:val="0096153E"/>
    <w:rsid w:val="009721BE"/>
    <w:rsid w:val="009754D5"/>
    <w:rsid w:val="00976473"/>
    <w:rsid w:val="0097710D"/>
    <w:rsid w:val="009845B1"/>
    <w:rsid w:val="009978CD"/>
    <w:rsid w:val="009A51C2"/>
    <w:rsid w:val="009A59EE"/>
    <w:rsid w:val="009B40CF"/>
    <w:rsid w:val="009B5B49"/>
    <w:rsid w:val="009B7CF2"/>
    <w:rsid w:val="009C0B82"/>
    <w:rsid w:val="009C0C6B"/>
    <w:rsid w:val="009C2CB3"/>
    <w:rsid w:val="009D4DE7"/>
    <w:rsid w:val="009D55B2"/>
    <w:rsid w:val="009E0479"/>
    <w:rsid w:val="009F0991"/>
    <w:rsid w:val="009F6B38"/>
    <w:rsid w:val="00A017CB"/>
    <w:rsid w:val="00A21D8D"/>
    <w:rsid w:val="00A227BE"/>
    <w:rsid w:val="00A2387C"/>
    <w:rsid w:val="00A26CD8"/>
    <w:rsid w:val="00A368FA"/>
    <w:rsid w:val="00A43887"/>
    <w:rsid w:val="00A527C1"/>
    <w:rsid w:val="00A91C0C"/>
    <w:rsid w:val="00A928CA"/>
    <w:rsid w:val="00A93D33"/>
    <w:rsid w:val="00AC48BB"/>
    <w:rsid w:val="00AD445E"/>
    <w:rsid w:val="00AE03EE"/>
    <w:rsid w:val="00AE4507"/>
    <w:rsid w:val="00AE6A99"/>
    <w:rsid w:val="00AF5677"/>
    <w:rsid w:val="00B00D9B"/>
    <w:rsid w:val="00B07643"/>
    <w:rsid w:val="00B23CD2"/>
    <w:rsid w:val="00B50797"/>
    <w:rsid w:val="00B66763"/>
    <w:rsid w:val="00B67742"/>
    <w:rsid w:val="00B96F76"/>
    <w:rsid w:val="00BB24CA"/>
    <w:rsid w:val="00BB43D3"/>
    <w:rsid w:val="00BB4FE2"/>
    <w:rsid w:val="00BD7B83"/>
    <w:rsid w:val="00BF04BF"/>
    <w:rsid w:val="00C02ADB"/>
    <w:rsid w:val="00C16190"/>
    <w:rsid w:val="00C3066D"/>
    <w:rsid w:val="00C60F0A"/>
    <w:rsid w:val="00C61B5A"/>
    <w:rsid w:val="00C64BF8"/>
    <w:rsid w:val="00C66ED1"/>
    <w:rsid w:val="00C80629"/>
    <w:rsid w:val="00C874A9"/>
    <w:rsid w:val="00CA65D7"/>
    <w:rsid w:val="00CC7AA4"/>
    <w:rsid w:val="00CD3E62"/>
    <w:rsid w:val="00CD58A3"/>
    <w:rsid w:val="00CE633A"/>
    <w:rsid w:val="00D011BB"/>
    <w:rsid w:val="00D15E91"/>
    <w:rsid w:val="00D362A0"/>
    <w:rsid w:val="00D368CD"/>
    <w:rsid w:val="00D431CD"/>
    <w:rsid w:val="00D45C26"/>
    <w:rsid w:val="00D51675"/>
    <w:rsid w:val="00D56989"/>
    <w:rsid w:val="00D57B76"/>
    <w:rsid w:val="00D801ED"/>
    <w:rsid w:val="00D9784A"/>
    <w:rsid w:val="00DA70F0"/>
    <w:rsid w:val="00DC2443"/>
    <w:rsid w:val="00DC67C0"/>
    <w:rsid w:val="00DF0566"/>
    <w:rsid w:val="00DF38BD"/>
    <w:rsid w:val="00E06BFE"/>
    <w:rsid w:val="00E47684"/>
    <w:rsid w:val="00E65279"/>
    <w:rsid w:val="00E65F33"/>
    <w:rsid w:val="00E72B3A"/>
    <w:rsid w:val="00E73316"/>
    <w:rsid w:val="00E82478"/>
    <w:rsid w:val="00EB0251"/>
    <w:rsid w:val="00EB1DB7"/>
    <w:rsid w:val="00ED5857"/>
    <w:rsid w:val="00ED5A07"/>
    <w:rsid w:val="00ED689D"/>
    <w:rsid w:val="00EF0488"/>
    <w:rsid w:val="00EF2ADE"/>
    <w:rsid w:val="00EF3D97"/>
    <w:rsid w:val="00F01ACB"/>
    <w:rsid w:val="00F12190"/>
    <w:rsid w:val="00F26C13"/>
    <w:rsid w:val="00F275C7"/>
    <w:rsid w:val="00F302DE"/>
    <w:rsid w:val="00F4350E"/>
    <w:rsid w:val="00F45152"/>
    <w:rsid w:val="00F4609B"/>
    <w:rsid w:val="00F5558B"/>
    <w:rsid w:val="00F6199D"/>
    <w:rsid w:val="00F66F22"/>
    <w:rsid w:val="00F67FB5"/>
    <w:rsid w:val="00F8028C"/>
    <w:rsid w:val="00F8072F"/>
    <w:rsid w:val="00F90233"/>
    <w:rsid w:val="00F9527E"/>
    <w:rsid w:val="00FA6A18"/>
    <w:rsid w:val="00FC2324"/>
    <w:rsid w:val="00FD27F6"/>
    <w:rsid w:val="00FD49D6"/>
    <w:rsid w:val="00FE133B"/>
    <w:rsid w:val="00FE5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www.nps.gov/sitk/index.htm%20" TargetMode="Externa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www.nps.gov/grba/learn/management/organic-act-of-1916.htm%20"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mtalab.adfg.alaska.gov/OTO/marking.aspx" TargetMode="External"/><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hyperlink" Target="https://www.adfg.alaska.gov/index.cfm?adfg=commercialbyareasoutheast.salmon_research_pink"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1280</TotalTime>
  <Pages>30</Pages>
  <Words>8885</Words>
  <Characters>47539</Characters>
  <Application>Microsoft Office Word</Application>
  <DocSecurity>0</DocSecurity>
  <Lines>699</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59</cp:revision>
  <dcterms:created xsi:type="dcterms:W3CDTF">2026-03-06T13:33:00Z</dcterms:created>
  <dcterms:modified xsi:type="dcterms:W3CDTF">2026-04-05T23:49:00Z</dcterms:modified>
</cp:coreProperties>
</file>