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commentRangeStart w:id="2"/>
      <w:r w:rsidRPr="00776C8C">
        <w:rPr>
          <w:u w:val="single"/>
        </w:rPr>
        <w:t>Abstract</w:t>
      </w:r>
    </w:p>
    <w:p w14:paraId="318F9DBF" w14:textId="77777777"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 xml:space="preserve">almon in Sitka National Historical Park’s Indian River. Though native to the river, numbers of </w:t>
      </w:r>
      <w:r>
        <w:t>pink salmon</w:t>
      </w:r>
      <w:r w:rsidRPr="00250E10">
        <w:t xml:space="preserve"> returning </w:t>
      </w:r>
      <w:r>
        <w:t xml:space="preserve">to spawn </w:t>
      </w:r>
      <w:r w:rsidRPr="00250E10">
        <w:t xml:space="preserve">in </w:t>
      </w:r>
      <w:r>
        <w:t>late summer</w:t>
      </w:r>
      <w:r w:rsidRPr="00250E10">
        <w:t xml:space="preserve"> have grown exponentially in recent decades, putting other fish species</w:t>
      </w:r>
      <w:r>
        <w:t xml:space="preserve"> that are</w:t>
      </w:r>
      <w:r w:rsidRPr="00250E10">
        <w:t xml:space="preserve"> </w:t>
      </w:r>
      <w:r>
        <w:t xml:space="preserve">reliant on the river </w:t>
      </w:r>
      <w:r w:rsidRPr="00250E10">
        <w:t xml:space="preserve">at risk. </w:t>
      </w:r>
      <w:r>
        <w:t>T</w:t>
      </w:r>
      <w:r w:rsidRPr="00250E10">
        <w:t xml:space="preserve">he </w:t>
      </w:r>
      <w:r>
        <w:t xml:space="preserve">U.S. </w:t>
      </w:r>
      <w:r w:rsidRPr="00250E10">
        <w:t xml:space="preserve">National Park Service mandates the maintenance of </w:t>
      </w:r>
      <w:r>
        <w:t xml:space="preserve">population densities </w:t>
      </w:r>
      <w:r w:rsidRPr="00250E10">
        <w:t xml:space="preserve">such as they would occur </w:t>
      </w:r>
      <w:r>
        <w:t xml:space="preserve">within a </w:t>
      </w:r>
      <w:r w:rsidRPr="00250E10">
        <w:t>“</w:t>
      </w:r>
      <w:r>
        <w:t>natural range of variation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 xml:space="preserve">his study seeks to determine whether the increased numbers of </w:t>
      </w:r>
      <w:r>
        <w:t>pink salmon</w:t>
      </w:r>
      <w:r w:rsidRPr="00250E10">
        <w:t xml:space="preserve"> observed at Indian River are </w:t>
      </w:r>
      <w:r>
        <w:t>typical</w:t>
      </w:r>
      <w:r w:rsidRPr="00250E10">
        <w:t xml:space="preserve"> of trends in the wider region</w:t>
      </w:r>
      <w:r>
        <w:t>, or whether hatchery operations may be driving the hyperabundant runs in recent years</w:t>
      </w:r>
      <w:r w:rsidRPr="00250E10">
        <w:t xml:space="preserve">. </w:t>
      </w:r>
      <w:commentRangeEnd w:id="2"/>
      <w:r w:rsidRPr="00776C8C">
        <w:rPr>
          <w:rStyle w:val="CommentReference"/>
          <w:sz w:val="24"/>
          <w:szCs w:val="24"/>
          <w:u w:val="single"/>
        </w:rPr>
        <w:commentReference w:id="2"/>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626338" w:rsidRDefault="00670218">
      <w:pPr>
        <w:spacing w:after="0" w:line="480" w:lineRule="auto"/>
        <w:rPr>
          <w:b/>
          <w:bCs/>
          <w:u w:val="single"/>
          <w:rPrChange w:id="3" w:author="Brian E McGreal" w:date="2026-03-27T10:38:00Z" w16du:dateUtc="2026-03-27T17:38:00Z">
            <w:rPr/>
          </w:rPrChange>
        </w:rPr>
        <w:pPrChange w:id="4" w:author="Brian E McGreal" w:date="2026-03-27T10:38:00Z" w16du:dateUtc="2026-03-27T17:38:00Z">
          <w:pPr>
            <w:pStyle w:val="ListParagraph"/>
            <w:spacing w:after="0" w:line="480" w:lineRule="auto"/>
            <w:ind w:left="360"/>
          </w:pPr>
        </w:pPrChange>
      </w:pPr>
      <w:commentRangeStart w:id="5"/>
      <w:r w:rsidRPr="00626338">
        <w:rPr>
          <w:b/>
          <w:bCs/>
          <w:u w:val="single"/>
          <w:rPrChange w:id="6" w:author="Brian E McGreal" w:date="2026-03-27T10:38:00Z" w16du:dateUtc="2026-03-27T17:38:00Z">
            <w:rPr/>
          </w:rPrChange>
        </w:rPr>
        <w:lastRenderedPageBreak/>
        <w:t xml:space="preserve">Introduction </w:t>
      </w:r>
      <w:commentRangeEnd w:id="5"/>
      <w:r w:rsidR="00F6199D" w:rsidRPr="00626338">
        <w:rPr>
          <w:rStyle w:val="CommentReference"/>
          <w:b/>
          <w:bCs/>
          <w:sz w:val="24"/>
          <w:szCs w:val="24"/>
          <w:u w:val="single"/>
          <w:rPrChange w:id="7" w:author="Brian E McGreal" w:date="2026-03-27T10:38:00Z" w16du:dateUtc="2026-03-27T17:38:00Z">
            <w:rPr>
              <w:rStyle w:val="CommentReference"/>
              <w:sz w:val="24"/>
              <w:szCs w:val="24"/>
            </w:rPr>
          </w:rPrChange>
        </w:rPr>
        <w:commentReference w:id="5"/>
      </w:r>
    </w:p>
    <w:p w14:paraId="226B7545" w14:textId="7583F15A" w:rsidR="008E583F" w:rsidRDefault="00226B01" w:rsidP="00A017CB">
      <w:pPr>
        <w:spacing w:after="0" w:line="480" w:lineRule="auto"/>
        <w:ind w:firstLine="720"/>
        <w:rPr>
          <w:ins w:id="8" w:author="Brian E McGreal" w:date="2026-03-09T09:14:00Z" w16du:dateUtc="2026-03-09T16:14:00Z"/>
        </w:rPr>
      </w:pPr>
      <w:ins w:id="9" w:author="Brian E McGreal" w:date="2026-03-09T09:22:00Z" w16du:dateUtc="2026-03-09T16:22:00Z">
        <w:r>
          <w:t>C</w:t>
        </w:r>
      </w:ins>
      <w:ins w:id="10" w:author="Brian E McGreal" w:date="2026-03-09T09:21:00Z" w16du:dateUtc="2026-03-09T16:21:00Z">
        <w:r>
          <w:t xml:space="preserve">onservation issues </w:t>
        </w:r>
      </w:ins>
      <w:ins w:id="11" w:author="Brian E McGreal" w:date="2026-03-09T09:22:00Z" w16du:dateUtc="2026-03-09T16:22:00Z">
        <w:r>
          <w:t xml:space="preserve">related to individual species are often the result of either the scarcity </w:t>
        </w:r>
      </w:ins>
      <w:ins w:id="12" w:author="Brian E McGreal" w:date="2026-03-09T09:24:00Z" w16du:dateUtc="2026-03-09T16:24:00Z">
        <w:r>
          <w:t xml:space="preserve">of a native plant or animal species, or </w:t>
        </w:r>
      </w:ins>
      <w:ins w:id="13" w:author="Brian E McGreal" w:date="2026-03-09T09:25:00Z" w16du:dateUtc="2026-03-09T16:25:00Z">
        <w:r>
          <w:t xml:space="preserve">of </w:t>
        </w:r>
      </w:ins>
      <w:ins w:id="14" w:author="Brian E McGreal" w:date="2026-03-09T09:24:00Z" w16du:dateUtc="2026-03-09T16:24:00Z">
        <w:r>
          <w:t>an abundance of non-native (exotic, invasive) species</w:t>
        </w:r>
      </w:ins>
      <w:ins w:id="15" w:author="Brian E McGreal" w:date="2026-03-09T09:25:00Z" w16du:dateUtc="2026-03-09T16:25:00Z">
        <w:r>
          <w:t xml:space="preserve">, </w:t>
        </w:r>
      </w:ins>
      <w:ins w:id="16" w:author="Brian E McGreal" w:date="2026-03-09T09:26:00Z" w16du:dateUtc="2026-03-09T16:26:00Z">
        <w:r>
          <w:t xml:space="preserve">with </w:t>
        </w:r>
      </w:ins>
      <w:ins w:id="17" w:author="Brian E McGreal" w:date="2026-03-09T09:25:00Z" w16du:dateUtc="2026-03-09T16:25:00Z">
        <w:r>
          <w:t xml:space="preserve">either </w:t>
        </w:r>
      </w:ins>
      <w:ins w:id="18" w:author="Brian E McGreal" w:date="2026-03-09T09:26:00Z" w16du:dateUtc="2026-03-09T16:26:00Z">
        <w:r>
          <w:t xml:space="preserve">scenario capable </w:t>
        </w:r>
      </w:ins>
      <w:ins w:id="19" w:author="Brian E McGreal" w:date="2026-03-09T09:25:00Z" w16du:dateUtc="2026-03-09T16:25:00Z">
        <w:r>
          <w:t xml:space="preserve">of </w:t>
        </w:r>
      </w:ins>
      <w:ins w:id="20" w:author="Brian E McGreal" w:date="2026-03-09T09:26:00Z" w16du:dateUtc="2026-03-09T16:26:00Z">
        <w:r>
          <w:t>imperiling</w:t>
        </w:r>
      </w:ins>
      <w:ins w:id="21" w:author="Brian E McGreal" w:date="2026-03-09T09:25:00Z" w16du:dateUtc="2026-03-09T16:25:00Z">
        <w:r>
          <w:t xml:space="preserve"> the ecosystems in which they occur</w:t>
        </w:r>
      </w:ins>
      <w:ins w:id="22" w:author="Brian E McGreal" w:date="2026-03-09T10:11:00Z" w16du:dateUtc="2026-03-09T17:11:00Z">
        <w:r w:rsidR="005D5E6A">
          <w:t xml:space="preserve"> (</w:t>
        </w:r>
      </w:ins>
      <w:ins w:id="23" w:author="Brian E McGreal" w:date="2026-03-09T11:06:00Z" w16du:dateUtc="2026-03-09T18:06:00Z">
        <w:r w:rsidR="00E06BFE">
          <w:t>El</w:t>
        </w:r>
      </w:ins>
      <w:ins w:id="24" w:author="Brian E McGreal" w:date="2026-03-09T11:07:00Z" w16du:dateUtc="2026-03-09T18:07:00Z">
        <w:r w:rsidR="00E06BFE">
          <w:t xml:space="preserve">lison et al. 2005, </w:t>
        </w:r>
      </w:ins>
      <w:ins w:id="25" w:author="Brian E McGreal" w:date="2026-03-09T11:08:00Z" w16du:dateUtc="2026-03-09T18:08:00Z">
        <w:r w:rsidR="00E06BFE">
          <w:t xml:space="preserve">Gallardo et al. 2015, </w:t>
        </w:r>
      </w:ins>
      <w:ins w:id="26" w:author="Brian E McGreal" w:date="2026-03-09T10:11:00Z" w16du:dateUtc="2026-03-09T17:11:00Z">
        <w:r w:rsidR="005D5E6A">
          <w:t>Jes</w:t>
        </w:r>
      </w:ins>
      <w:ins w:id="27" w:author="Brian E McGreal" w:date="2026-03-09T10:12:00Z" w16du:dateUtc="2026-03-09T17:12:00Z">
        <w:r w:rsidR="005D5E6A">
          <w:t>chke et al. 2014</w:t>
        </w:r>
      </w:ins>
      <w:ins w:id="28" w:author="Brian E McGreal" w:date="2026-03-09T10:11:00Z" w16du:dateUtc="2026-03-09T17:11:00Z">
        <w:r w:rsidR="005D5E6A">
          <w:t>)</w:t>
        </w:r>
      </w:ins>
      <w:ins w:id="29" w:author="Brian E McGreal" w:date="2026-03-09T09:25:00Z" w16du:dateUtc="2026-03-09T16:25:00Z">
        <w:r>
          <w:t>.</w:t>
        </w:r>
      </w:ins>
      <w:ins w:id="30" w:author="Brian E McGreal" w:date="2026-03-09T09:17:00Z" w16du:dateUtc="2026-03-09T16:17:00Z">
        <w:r w:rsidR="008E583F">
          <w:t xml:space="preserve"> </w:t>
        </w:r>
      </w:ins>
      <w:ins w:id="31" w:author="Brian E McGreal" w:date="2026-03-09T09:16:00Z" w16du:dateUtc="2026-03-09T16:16:00Z">
        <w:r w:rsidR="008E583F">
          <w:t xml:space="preserve"> </w:t>
        </w:r>
      </w:ins>
      <w:ins w:id="32" w:author="Brian E McGreal" w:date="2026-03-09T09:14:00Z" w16du:dateUtc="2026-03-09T16:14:00Z">
        <w:r w:rsidR="008E583F">
          <w:t>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ins>
    </w:p>
    <w:p w14:paraId="439291BE" w14:textId="050856A2"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variation’. Pursuant to this, park managers are often </w:t>
      </w:r>
      <w:commentRangeStart w:id="33"/>
      <w:r>
        <w:t>confronted with either the scarcity of native plant or animal species</w:t>
      </w:r>
      <w:r w:rsidR="005078EE">
        <w:t>,</w:t>
      </w:r>
      <w:r>
        <w:t xml:space="preserve"> or an abundance of non-native (exotic, invasive) species that may damage park ecosystems </w:t>
      </w:r>
      <w:commentRangeEnd w:id="33"/>
      <w:r w:rsidR="00226B01">
        <w:rPr>
          <w:rStyle w:val="CommentReference"/>
          <w:rFonts w:cstheme="minorHAnsi"/>
          <w:color w:val="202122"/>
          <w:sz w:val="24"/>
          <w:szCs w:val="24"/>
          <w:shd w:val="clear" w:color="auto" w:fill="FFFFFF"/>
        </w:rPr>
        <w:commentReference w:id="33"/>
      </w:r>
      <w:r>
        <w:rPr>
          <w:rFonts w:cstheme="minorHAnsi"/>
          <w:color w:val="202122"/>
          <w:shd w:val="clear" w:color="auto" w:fill="FFFFFF"/>
        </w:rPr>
        <w:t>(National Park Service 2025a)</w:t>
      </w:r>
      <w:r>
        <w:t xml:space="preserve">. </w:t>
      </w:r>
      <w:del w:id="34" w:author="Brian E McGreal" w:date="2026-03-09T09:18:00Z" w16du:dateUtc="2026-03-09T16:18:00Z">
        <w:r w:rsidDel="008E583F">
          <w:delText xml:space="preserve">However, harm to ecosystems can also be driven by </w:delText>
        </w:r>
        <w:r w:rsidR="005078EE" w:rsidDel="008E583F">
          <w:delText>the</w:delText>
        </w:r>
        <w:r w:rsidDel="008E583F">
          <w:delText xml:space="preserve"> hyperabundance of a native species, due either to shifting regional trends in habitat suitability, to direct (and often anthropogenic) intervention, or to a combination of these factors (Sambaraju and Goodsman 2021, Beckett et al. 2022, Moore et al. 2023). </w:delText>
        </w:r>
      </w:del>
      <w:r w:rsidR="005078EE">
        <w:t>For example, in Yellowstone National Park, native mountain pine beetles (</w:t>
      </w:r>
      <w:r w:rsidR="005078EE">
        <w:rPr>
          <w:i/>
          <w:iCs/>
        </w:rPr>
        <w:t>Dendroctonus ponderosae</w:t>
      </w:r>
      <w:r w:rsidR="005078EE">
        <w:t xml:space="preserve">)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w:t>
      </w:r>
      <w:r w:rsidR="005078EE">
        <w:lastRenderedPageBreak/>
        <w:t>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While there is little debate that 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p>
    <w:p w14:paraId="6E37A897" w14:textId="2312125D" w:rsidR="00670218" w:rsidRDefault="00670218" w:rsidP="009056D1">
      <w:pPr>
        <w:spacing w:after="0" w:line="480" w:lineRule="auto"/>
        <w:ind w:firstLine="360"/>
      </w:pPr>
      <w:r>
        <w:t xml:space="preserve">With these ideas in mind, </w:t>
      </w:r>
      <w:r w:rsidR="00303024">
        <w:t xml:space="preserve">this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commentRangeStart w:id="35"/>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9056D1">
        <w:rPr>
          <w:rFonts w:cstheme="minorHAnsi"/>
          <w:color w:val="202122"/>
          <w:shd w:val="clear" w:color="auto" w:fill="FFFFFF"/>
        </w:rPr>
        <w:t xml:space="preserve">(the </w:t>
      </w:r>
      <w:r w:rsidR="00740E18">
        <w:t>Indian River</w:t>
      </w:r>
      <w:r w:rsidR="009056D1">
        <w:t>)</w:t>
      </w:r>
      <w:r w:rsidR="00740E18">
        <w:t>, the main reach and intertidal area of which fall within park boundaries.</w:t>
      </w:r>
      <w:r w:rsidRPr="00A017CB">
        <w:rPr>
          <w:rFonts w:cstheme="minorHAnsi"/>
          <w:color w:val="202122"/>
          <w:shd w:val="clear" w:color="auto" w:fill="FFFFFF"/>
        </w:rPr>
        <w:t xml:space="preserve"> </w:t>
      </w:r>
      <w:r>
        <w:t>(National Park Service 2025b)</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5"/>
      <w:r w:rsidR="009056D1" w:rsidRPr="00A017CB">
        <w:rPr>
          <w:rStyle w:val="CommentReference"/>
          <w:rFonts w:cstheme="minorHAnsi"/>
          <w:color w:val="202122"/>
          <w:sz w:val="24"/>
          <w:szCs w:val="24"/>
          <w:shd w:val="clear" w:color="auto" w:fill="FFFFFF"/>
        </w:rPr>
        <w:commentReference w:id="35"/>
      </w:r>
      <w:r w:rsidRPr="00A017CB">
        <w:rPr>
          <w:rFonts w:cstheme="minorHAnsi"/>
          <w:color w:val="202122"/>
          <w:shd w:val="clear" w:color="auto" w:fill="FFFFFF"/>
        </w:rPr>
        <w:t xml:space="preserve">has been the location of a fishing camp and harvesting site for the Kiks.ádi clan, and particularly valued for its close proximity to the clan’s winter villages, as well as for hosting runs of a variety of Pacific salmon species, including </w:t>
      </w:r>
      <w:r w:rsidRPr="00A017CB">
        <w:rPr>
          <w:rFonts w:cstheme="minorHAnsi"/>
          <w:color w:val="202122"/>
          <w:shd w:val="clear" w:color="auto" w:fill="FFFFFF"/>
        </w:rPr>
        <w:lastRenderedPageBreak/>
        <w:t>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enter the 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Pr="00CD14B8">
        <w:t xml:space="preserve">. This leads to two 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lastRenderedPageBreak/>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247AB298"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isn’t perfect, and in fact is likely an evolved trait that allows fish to colonize new habitats when they become suitable for spawning (Quinn 2018).  Straying, whereby a juvenile salmon </w:t>
      </w:r>
      <w:r>
        <w:lastRenderedPageBreak/>
        <w:t>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7CF7FB77" w14:textId="77777777" w:rsidR="007F5330" w:rsidRDefault="00A368FA" w:rsidP="00DA70F0">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w:t>
      </w:r>
      <w:r>
        <w:lastRenderedPageBreak/>
        <w:t xml:space="preserve">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However, this data alone does not provide sufficient evidence to conclude whether and to what extent Sheldon Jackson Hatchery has influenced pink salmon abundance at Indian River.  </w:t>
      </w:r>
    </w:p>
    <w:p w14:paraId="2AB6F4F6" w14:textId="48CD7686" w:rsidR="00BD7B83" w:rsidRDefault="00BD7B83" w:rsidP="002D76A3">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If the commencement (or 2010 expansion) of hatchery operations has significantly increased pink salmon population densities at Indian River, then this effect could be observed by </w:t>
      </w:r>
      <w:r>
        <w:lastRenderedPageBreak/>
        <w:t>specifying a model of hatchery operations which controls for both the effect of time period (pre- and post-commencement of operations) and the effect of treatment (considering Indian River the treated group). Finally, the impact of hatchery releases on Indian River abundances may be 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52E0369E" w:rsidR="00670218" w:rsidRDefault="00670218" w:rsidP="00A017CB">
      <w:pPr>
        <w:spacing w:after="0" w:line="480" w:lineRule="auto"/>
      </w:pPr>
      <w:r>
        <w:t xml:space="preserve">ADFG conducts annual aerial surveys of approximately 700 streams in southeast Alaska to monitor pink salmon escapement commercial fisheries management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 xml:space="preserve">which </w:t>
      </w:r>
      <w:r w:rsidR="00121CF4">
        <w:lastRenderedPageBreak/>
        <w:t>are used to</w:t>
      </w:r>
      <w:r>
        <w:t xml:space="preserve"> assess the accuracy of ADFG’s aerial survey efforts (A. Dupuis, ADFG, personal communication, August 19, 2024). </w:t>
      </w:r>
      <w:r w:rsidR="007C46E2">
        <w:t>In addition to these aerial surveys, SJH files annual reports with ADFG</w:t>
      </w:r>
      <w:r w:rsidR="007C46E2" w:rsidRPr="007C46E2">
        <w:t xml:space="preserve"> </w:t>
      </w:r>
      <w:r w:rsidR="007C46E2">
        <w:t>which include</w:t>
      </w:r>
      <w:r w:rsidR="007C46E2" w:rsidRPr="007C46E2">
        <w:t xml:space="preserve"> the number of salmon juveniles reared and released, the number of 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7C003B">
        <w:t xml:space="preserve"> (L. Wilson, ADFG, personal communication, July 9, 2025)</w:t>
      </w:r>
      <w:r w:rsidR="007C46E2" w:rsidRPr="007C46E2">
        <w:t>.</w:t>
      </w:r>
    </w:p>
    <w:p w14:paraId="6730D5E4" w14:textId="0FEB8577" w:rsidR="004A1DBD" w:rsidRDefault="003542B1" w:rsidP="00246989">
      <w:pPr>
        <w:spacing w:after="0" w:line="480" w:lineRule="auto"/>
        <w:ind w:firstLine="360"/>
      </w:pPr>
      <w:r>
        <w:t>Due to their life history</w:t>
      </w:r>
      <w:r w:rsidR="00B96F76">
        <w:t xml:space="preserve"> of immediately migrating into the ocean as juveniles</w:t>
      </w:r>
      <w:r>
        <w:t xml:space="preserve">, </w:t>
      </w:r>
      <w:r w:rsidR="008D1BFB">
        <w:t xml:space="preserve">the </w:t>
      </w:r>
      <w:r w:rsidR="00B96F76">
        <w:t>marine environment</w:t>
      </w:r>
      <w:r w:rsidR="008D1BFB">
        <w:t xml:space="preserve"> </w:t>
      </w:r>
      <w:r>
        <w:t xml:space="preserve">is </w:t>
      </w:r>
      <w:r w:rsidR="008D1BFB">
        <w:t xml:space="preserve">critical rearing habitat </w:t>
      </w:r>
      <w:r>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may go a long way towards explaining year-to-year variations in returning adults. The Pacific Decadal Oscillation, a recurring pattern of Northen Pacific sea surface temperature, has been shown to be robustly correlated with salmon production regimes off the coast of Alaska</w:t>
      </w:r>
      <w:r w:rsidR="00F26C13">
        <w:t xml:space="preserve"> (Mantua et al. 1997). As such, this research leverages data on ocean climate in the form of PDO as recorded by the US National Oceanic and Atmospheric Administration (NOAA).  </w:t>
      </w:r>
    </w:p>
    <w:p w14:paraId="4E0CE35B" w14:textId="1E19B084" w:rsidR="00F26C13" w:rsidRDefault="004327DF" w:rsidP="00A017CB">
      <w:pPr>
        <w:spacing w:after="0" w:line="480" w:lineRule="auto"/>
        <w:ind w:firstLine="360"/>
      </w:pPr>
      <w:r>
        <w:t xml:space="preserve">Survey data used in this study covers the period from 1960 to 2023. </w:t>
      </w:r>
      <w:r w:rsidR="00670218">
        <w:t>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Annual reports from Sheldon Jackson Hatchery</w:t>
      </w:r>
      <w:r w:rsidR="00223722">
        <w:t xml:space="preserve"> are available from 1975 onwards, commensurate with the </w:t>
      </w:r>
      <w:r w:rsidR="0087213E">
        <w:t xml:space="preserve">establishment of </w:t>
      </w:r>
      <w:r w:rsidR="0087213E">
        <w:lastRenderedPageBreak/>
        <w:t xml:space="preserve">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77777777" w:rsidR="002657D1" w:rsidRDefault="005C4DB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some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w:t>
      </w:r>
      <w:r>
        <w:lastRenderedPageBreak/>
        <w:t xml:space="preserve">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312940A4"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43A5FE48" w14:textId="7A12324E" w:rsidR="00EF0488" w:rsidRDefault="00EF0488" w:rsidP="00EF0488">
      <w:pPr>
        <w:spacing w:after="0" w:line="480" w:lineRule="auto"/>
      </w:pPr>
      <w:r>
        <w:lastRenderedPageBreak/>
        <w:t>The first stage of this research attempt</w:t>
      </w:r>
      <w:r w:rsidR="007C003B">
        <w:t>s</w:t>
      </w:r>
      <w:r>
        <w:t xml:space="preserve">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Pr="003C6E79">
        <w:rPr>
          <w:i/>
          <w:iCs/>
        </w:rPr>
        <w:t>north southeast (outside)</w:t>
      </w:r>
      <w:r>
        <w:t xml:space="preserve"> index streams) to estimate one underlying state process of pink salmon abundance throughout the region. A comparison of how well each model fits the abundance data will either lend support to or undermine the notion that Indian River pink salmon abundances significantly differ from those observed elsewhere in the region throughout the study period. </w:t>
      </w:r>
    </w:p>
    <w:p w14:paraId="202321FB" w14:textId="71A7405B" w:rsidR="00670218" w:rsidRDefault="00FC2324" w:rsidP="00246989">
      <w:pPr>
        <w:spacing w:after="0" w:line="480" w:lineRule="auto"/>
        <w:ind w:firstLine="720"/>
      </w:pPr>
      <w:r>
        <w:t xml:space="preserve">Data is standardized at the stream level so that streams of varying available pink salmon habitat may be directly compared. </w:t>
      </w:r>
      <w:r w:rsidR="00670218">
        <w:t xml:space="preserve">These models include covariate controls for ocean climate and the observer of record for each time series observation (in </w:t>
      </w:r>
      <w:r w:rsidR="00670218" w:rsidRPr="003C6E79">
        <w:rPr>
          <w:i/>
          <w:iCs/>
        </w:rPr>
        <w:t>north southeast (outside)</w:t>
      </w:r>
      <w:r w:rsidR="00670218">
        <w:t xml:space="preserve"> index streams</w:t>
      </w:r>
      <w:r w:rsidR="007C003B">
        <w:t>,</w:t>
      </w:r>
      <w:r w:rsidR="00670218">
        <w:t xml:space="preserve"> the observer was recorded in 77% of observations, with the rest being assigned an unknown observer). The specification of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is of particular importance to this work, as it defines</w:t>
      </w:r>
      <w:r w:rsidR="00391B74">
        <w:t xml:space="preserve"> the number of underlying state processes a model estimates. A </w:t>
      </w:r>
      <w:r w:rsidR="00670218">
        <w:t>36</w:t>
      </w:r>
      <w:r w:rsidR="00391B74">
        <w:t xml:space="preserve"> </w:t>
      </w:r>
      <w:r w:rsidR="00670218">
        <w:t>x</w:t>
      </w:r>
      <w:r w:rsidR="00391B74">
        <w:t xml:space="preserve"> </w:t>
      </w:r>
      <w:r w:rsidR="00670218">
        <w:t xml:space="preserve">2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matrix</w:t>
      </w:r>
      <w:r w:rsidR="00391B74">
        <w:t xml:space="preserve"> defines two underlying states being represented by 36 observations</w:t>
      </w:r>
      <w:r w:rsidR="00670218">
        <w:t xml:space="preserve">, </w:t>
      </w:r>
      <w:r w:rsidR="00391B74">
        <w:t xml:space="preserve">and </w:t>
      </w:r>
      <w:r w:rsidR="00246989">
        <w:t xml:space="preserve">may </w:t>
      </w:r>
      <w:r w:rsidR="00391B74">
        <w:t xml:space="preserve">be written to </w:t>
      </w:r>
      <w:r w:rsidR="00670218">
        <w:t>selec</w:t>
      </w:r>
      <w:r w:rsidR="00391B74">
        <w:t>t</w:t>
      </w:r>
      <w:r w:rsidR="00670218">
        <w:t xml:space="preserve"> the Indian River as representative of one state and all other streams in the sub-region as representative of a second state. </w:t>
      </w:r>
      <w:r w:rsidR="007C003B">
        <w:t>To</w:t>
      </w:r>
      <w:r w:rsidR="00391B74">
        <w:t xml:space="preserve"> specify a model in which all observations are representative of a single underlying state, </w:t>
      </w:r>
      <w:r w:rsidR="00391B74" w:rsidRPr="00C64BF8">
        <w:rPr>
          <w:rFonts w:ascii="MathJax_Math-italic" w:eastAsia="Times New Roman" w:hAnsi="MathJax_Math-italic" w:cs="Times New Roman"/>
          <w:b/>
          <w:bCs/>
          <w:kern w:val="0"/>
          <w:sz w:val="26"/>
          <w:szCs w:val="26"/>
          <w:bdr w:val="none" w:sz="0" w:space="0" w:color="auto" w:frame="1"/>
          <w14:ligatures w14:val="none"/>
        </w:rPr>
        <w:t>Z</w:t>
      </w:r>
      <w:r w:rsidR="00391B74">
        <w:t xml:space="preserve"> is defined as a 36 x 1</w:t>
      </w:r>
      <w:r w:rsidR="00E82478">
        <w:t xml:space="preserve"> column</w:t>
      </w:r>
      <w:r w:rsidR="00391B74">
        <w:t xml:space="preserve"> vector </w:t>
      </w:r>
      <w:r w:rsidR="00E82478">
        <w:t>of 1’s.</w:t>
      </w:r>
      <w:r w:rsidR="00391B74">
        <w:t xml:space="preserve"> </w:t>
      </w:r>
      <w:r w:rsidR="00670218">
        <w:t xml:space="preserve">No </w:t>
      </w:r>
      <w:r w:rsidR="00391B74">
        <w:t xml:space="preserve">offset is </w:t>
      </w:r>
      <w:r w:rsidR="00670218">
        <w:t xml:space="preserve">estimated for the observation process, but the model allows for distinct trends in both underlying states. </w:t>
      </w:r>
      <w:r w:rsidR="00670218">
        <w:lastRenderedPageBreak/>
        <w:t>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1E7B3B00" w:rsidR="009D55B2" w:rsidRDefault="003C6E79" w:rsidP="003C6E79">
      <w:pPr>
        <w:spacing w:after="0" w:line="480" w:lineRule="auto"/>
        <w:ind w:firstLine="720"/>
      </w:pPr>
      <w:r>
        <w:t xml:space="preserve">Once fitted, this model estimates </w:t>
      </w:r>
      <w:r w:rsidR="00E82478">
        <w:t xml:space="preserve">either one or </w:t>
      </w:r>
      <w:r>
        <w:t>two</w:t>
      </w:r>
      <w:r w:rsidR="00E82478">
        <w:t xml:space="preserve"> </w:t>
      </w:r>
      <w:r>
        <w:t xml:space="preserve">underlying </w:t>
      </w:r>
      <w:r w:rsidR="00E82478">
        <w:t xml:space="preserve">state processes </w:t>
      </w:r>
      <w:r>
        <w:t xml:space="preserve">of pink salmon abundance, </w:t>
      </w:r>
      <w:r w:rsidR="00E82478">
        <w:t xml:space="preserve">depending on the specification of </w:t>
      </w:r>
      <w:r w:rsidR="00E82478" w:rsidRPr="00C64BF8">
        <w:rPr>
          <w:rFonts w:ascii="MathJax_Math-italic" w:eastAsia="Times New Roman" w:hAnsi="MathJax_Math-italic" w:cs="Times New Roman"/>
          <w:b/>
          <w:bCs/>
          <w:kern w:val="0"/>
          <w:sz w:val="26"/>
          <w:szCs w:val="26"/>
          <w:bdr w:val="none" w:sz="0" w:space="0" w:color="auto" w:frame="1"/>
          <w14:ligatures w14:val="none"/>
        </w:rPr>
        <w:t>Z</w:t>
      </w:r>
      <w:r w:rsidR="00E82478">
        <w:t xml:space="preserve">. In the two state model, </w:t>
      </w:r>
      <w:r>
        <w:t>one</w:t>
      </w:r>
      <w:r w:rsidR="00E82478">
        <w:t xml:space="preserve"> state</w:t>
      </w:r>
      <w:r>
        <w:t xml:space="preserve"> </w:t>
      </w:r>
      <w:r w:rsidR="007C003B">
        <w:t>represents</w:t>
      </w:r>
      <w:r>
        <w:t xml:space="preserve"> Indian River</w:t>
      </w:r>
      <w:r w:rsidR="007C003B">
        <w:t>,</w:t>
      </w:r>
      <w:r>
        <w:t xml:space="preserve"> </w:t>
      </w:r>
      <w:r w:rsidR="00E82478">
        <w:t>while</w:t>
      </w:r>
      <w:r>
        <w:t xml:space="preserve"> the other represent</w:t>
      </w:r>
      <w:r w:rsidR="00E82478">
        <w:t>s</w:t>
      </w:r>
      <w:r>
        <w:t xml:space="preserve"> a regional average state of pink salmon abundance in index streams (recall that index streams are selected by ADFG due to their not being heavily influenced by human activity).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6BFF426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region, there are four models that must be fit. 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w:t>
      </w:r>
      <w:r>
        <w:lastRenderedPageBreak/>
        <w:t xml:space="preserve">is specified such that, for each run, all 35 index streams and Indian River are treated as representative of one underlying state, leading to the model estimating two state processes total. There </w:t>
      </w:r>
      <w:r w:rsidR="006002FE">
        <w:t>are</w:t>
      </w:r>
      <w:r>
        <w:t xml:space="preserve"> two other important cases to consider. What if, due to some variation in the underlying genetics of each run, that odd-year runs at Indian River exhibit substantial variation in annual abundance from those of streams in the wider region, while even-runs at Indian River generally fall within the region’s natural range of variation, or vice versa? 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77777777" w:rsidR="00060EB8" w:rsidRDefault="00060EB8" w:rsidP="00060EB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7F89A2B1" w14:textId="77777777" w:rsidR="00060EB8" w:rsidRDefault="00060EB8" w:rsidP="00060EB8">
      <w:pPr>
        <w:spacing w:after="0" w:line="480" w:lineRule="auto"/>
        <w:ind w:firstLine="720"/>
      </w:pPr>
      <w:r>
        <w:lastRenderedPageBreak/>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77777777" w:rsidR="00060EB8" w:rsidRDefault="00060EB8" w:rsidP="00060EB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w:t>
      </w:r>
      <w:r>
        <w:lastRenderedPageBreak/>
        <w:t>studies which evaluate whether trends in control and treatment groups are mathematically similar in the pre-treatment period (Cunningham 2021).</w:t>
      </w:r>
    </w:p>
    <w:p w14:paraId="28256842" w14:textId="77777777" w:rsidR="00A2387C" w:rsidRDefault="00060EB8" w:rsidP="00A2387C">
      <w:pPr>
        <w:spacing w:after="0" w:line="480" w:lineRule="auto"/>
        <w:ind w:firstLine="360"/>
      </w:pPr>
      <w:r>
        <w:t>This research applies a DD framework to MARSS models in order to once again control for observation error and to capture the autoregressive behavior of the underlying state processes. The indicator variables described above are included as covariate data in the process equation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with </w:t>
      </w:r>
      <w:r w:rsidRPr="00344E76">
        <w:rPr>
          <w:rFonts w:ascii="MathJax_Math-italic" w:eastAsia="Times New Roman" w:hAnsi="MathJax_Math-italic" w:cs="Times New Roman"/>
          <w:b/>
          <w:bCs/>
          <w:kern w:val="0"/>
          <w:sz w:val="26"/>
          <w:szCs w:val="26"/>
          <w:bdr w:val="none" w:sz="0" w:space="0" w:color="auto" w:frame="1"/>
          <w14:ligatures w14:val="none"/>
        </w:rPr>
        <w:t>C</w:t>
      </w:r>
      <w:r>
        <w:t xml:space="preserve"> specified to capture the effects of interest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xml:space="preserve">, </w:t>
      </w:r>
      <w:r w:rsidRPr="00C64BF8">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t xml:space="preserve">, and </w:t>
      </w:r>
      <w:r w:rsidRPr="00C64BF8">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t xml:space="preserve">). Observations of pink salmon abundances at Indian River are assigned to the treatment group while observations at ADFG’s other </w:t>
      </w:r>
      <w:r w:rsidRPr="003C6E79">
        <w:rPr>
          <w:i/>
          <w:iCs/>
        </w:rPr>
        <w:t>north southeast (outside)</w:t>
      </w:r>
      <w:r>
        <w:t xml:space="preserve"> index streams form the control group. The treatment period is defined as post-1980, which allows hatchery operations for a couple of brood years to ramp up. A separate specification of the DD model includes an indicator variable related to periods pre- and post-2010, to assess the impact of heightened pink salmon production. Models are specified including additional covariates to further isolate the effect of interest, controlling for observer, for PDO, for both, and for neither. These competing specifications are evaluated for best fit using AICc. </w:t>
      </w:r>
    </w:p>
    <w:p w14:paraId="5A918DB5" w14:textId="726F0526" w:rsidR="002A4213" w:rsidRDefault="00060EB8" w:rsidP="00A2387C">
      <w:pPr>
        <w:spacing w:after="0" w:line="480" w:lineRule="auto"/>
        <w:ind w:firstLine="360"/>
      </w:pPr>
      <w:r>
        <w:t>To ensure that the parallel trends assumption holds between treatment and control groups during the pre-treatment period, event studies are undertaken on the best fit models</w:t>
      </w:r>
      <w:r w:rsidR="002A4213">
        <w:t>. Simple linear models are structured to isolate the effect of Indian River on pink salmon abundances during pre-treatment periods, as illustrated below:</w:t>
      </w:r>
    </w:p>
    <w:p w14:paraId="1CF65058" w14:textId="77777777" w:rsidR="002A4213" w:rsidRDefault="002A4213" w:rsidP="002A4213">
      <w:pPr>
        <w:spacing w:after="0" w:line="480" w:lineRule="auto"/>
      </w:pPr>
    </w:p>
    <w:p w14:paraId="3074EF8D" w14:textId="77777777" w:rsidR="002A4213" w:rsidRPr="008F33A8" w:rsidRDefault="002A4213" w:rsidP="002A4213">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1116B4D0" w14:textId="77777777" w:rsidR="002A4213" w:rsidRDefault="002A4213" w:rsidP="002A4213">
      <w:pPr>
        <w:spacing w:after="0" w:line="480" w:lineRule="auto"/>
      </w:pPr>
    </w:p>
    <w:p w14:paraId="32D3E6AE" w14:textId="65512B8F" w:rsidR="00060EB8" w:rsidRDefault="002A4213" w:rsidP="002A4213">
      <w:pPr>
        <w:spacing w:after="0" w:line="480" w:lineRule="auto"/>
      </w:pPr>
      <w:r>
        <w:lastRenderedPageBreak/>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groups significantly differ, a synthetic control group is constructed using a weighted average of untreated streams to match the Indian River’s pre-treatment trend. </w:t>
      </w:r>
    </w:p>
    <w:p w14:paraId="62C5440C" w14:textId="6D6F02AA" w:rsidR="00060EB8" w:rsidRDefault="00060EB8" w:rsidP="00060EB8">
      <w:pPr>
        <w:spacing w:after="0" w:line="480" w:lineRule="auto"/>
        <w:ind w:firstLine="360"/>
      </w:pPr>
      <w:commentRangeStart w:id="36"/>
      <w:r>
        <w:t xml:space="preserve">Parametric bootstrapping is employed on the best fit models to construct confidence intervals around these </w:t>
      </w:r>
      <w:commentRangeEnd w:id="36"/>
      <w:r w:rsidR="00A2387C">
        <w:rPr>
          <w:rStyle w:val="CommentReference"/>
          <w:sz w:val="24"/>
          <w:szCs w:val="24"/>
        </w:rPr>
        <w:commentReference w:id="36"/>
      </w:r>
      <w:r>
        <w:t xml:space="preserve">parameter estimates. 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AD82FAA" w:rsidR="00F4350E" w:rsidRDefault="004B019B" w:rsidP="00C64BF8">
      <w:pPr>
        <w:spacing w:after="0" w:line="480" w:lineRule="auto"/>
      </w:pPr>
      <w:r>
        <w:t>Finally</w:t>
      </w:r>
      <w:r w:rsidR="00670218">
        <w:t xml:space="preserve">, </w:t>
      </w:r>
      <w:r w:rsidR="00060EB8">
        <w:t>this research</w:t>
      </w:r>
      <w:r w:rsidR="00670218">
        <w:t xml:space="preserve"> focus</w:t>
      </w:r>
      <w:r w:rsidR="00060EB8">
        <w:t>es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w:t>
      </w:r>
      <w:commentRangeStart w:id="37"/>
      <w:commentRangeStart w:id="38"/>
      <w:commentRangeStart w:id="39"/>
      <w:commentRangeStart w:id="40"/>
      <w:r w:rsidR="00670218">
        <w:t xml:space="preserve">It is important to consider the effect of straying both to and from Indian River, as both would influence the abundances observed in stream. </w:t>
      </w:r>
      <w:commentRangeEnd w:id="39"/>
      <w:r w:rsidR="00205B63">
        <w:rPr>
          <w:rStyle w:val="CommentReference"/>
          <w:sz w:val="24"/>
          <w:szCs w:val="24"/>
        </w:rPr>
        <w:commentReference w:id="39"/>
      </w:r>
      <w:commentRangeEnd w:id="40"/>
      <w:r w:rsidR="00F275C7">
        <w:rPr>
          <w:rStyle w:val="CommentReference"/>
          <w:sz w:val="24"/>
          <w:szCs w:val="24"/>
        </w:rPr>
        <w:commentReference w:id="40"/>
      </w:r>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w:t>
      </w:r>
      <w:r w:rsidR="00670218">
        <w:lastRenderedPageBreak/>
        <w:t>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w:t>
      </w:r>
      <w:commentRangeEnd w:id="37"/>
      <w:r w:rsidR="009B5B49">
        <w:rPr>
          <w:rStyle w:val="CommentReference"/>
          <w:sz w:val="24"/>
          <w:szCs w:val="24"/>
        </w:rPr>
        <w:commentReference w:id="37"/>
      </w:r>
      <w:commentRangeEnd w:id="38"/>
      <w:r w:rsidR="00F275C7">
        <w:rPr>
          <w:rStyle w:val="CommentReference"/>
          <w:sz w:val="24"/>
          <w:szCs w:val="24"/>
        </w:rPr>
        <w:commentReference w:id="38"/>
      </w:r>
      <w:r w:rsidR="00670218">
        <w:t xml:space="preserve"> </w:t>
      </w:r>
      <w:r w:rsidR="005B1CFB">
        <w:t>Parametric bootstrapping is employed to construct confidence intervals around these parameter estimates.</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41" w:name="_Hlk201668133"/>
      <w:r w:rsidRPr="008C144E">
        <w:rPr>
          <w:b/>
          <w:bCs/>
          <w:u w:val="single"/>
        </w:rPr>
        <w:lastRenderedPageBreak/>
        <w:t>Results</w:t>
      </w:r>
    </w:p>
    <w:p w14:paraId="21BB6878" w14:textId="77777777" w:rsidR="00F4350E" w:rsidRDefault="00F4350E" w:rsidP="00F4350E">
      <w:pPr>
        <w:spacing w:after="0" w:line="480" w:lineRule="auto"/>
        <w:rPr>
          <w:b/>
          <w:bCs/>
        </w:rPr>
      </w:pPr>
      <w:r w:rsidRPr="00C64BF8">
        <w:rPr>
          <w:b/>
          <w:bCs/>
        </w:rPr>
        <w:t>Regional Abundance</w:t>
      </w:r>
    </w:p>
    <w:p w14:paraId="03F45F5B" w14:textId="0C23291B" w:rsidR="00C3066D" w:rsidRDefault="007635F3" w:rsidP="00F4350E">
      <w:pPr>
        <w:spacing w:after="0" w:line="480" w:lineRule="auto"/>
      </w:pPr>
      <w:r>
        <w:t>For both even- and odd-year runs</w:t>
      </w:r>
      <w:commentRangeStart w:id="42"/>
      <w:commentRangeStart w:id="43"/>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w:t>
      </w:r>
      <w:commentRangeStart w:id="44"/>
      <w:r w:rsidR="00837571">
        <w:t>regional average</w:t>
      </w:r>
      <w:commentRangeEnd w:id="44"/>
      <w:r w:rsidR="00837571">
        <w:rPr>
          <w:rStyle w:val="CommentReference"/>
          <w:sz w:val="24"/>
          <w:szCs w:val="24"/>
        </w:rPr>
        <w:commentReference w:id="44"/>
      </w:r>
      <w:r w:rsidR="00837571">
        <w:t>, while odd-year Indian River abundance in 1961 was estimated to be 1.326 standard deviations lower</w:t>
      </w:r>
      <w:r w:rsidR="00C3066D">
        <w:t>. Over the course of the time series, Indian River abundances for both runs “catch-up” to what would be expected of an average pink salmon index stream</w:t>
      </w:r>
      <w:r w:rsidR="001A405D">
        <w:t xml:space="preserve">, although odd-year Indian River runs take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runs are closely aligned with the average index stream, exceeding the average in some years and falling short in others, but in either case not by an amount that appears drastic when visually appraised</w:t>
      </w:r>
      <w:r>
        <w:t xml:space="preserve"> (Figure 3)</w:t>
      </w:r>
      <w:r w:rsidR="001A405D">
        <w:t>.</w:t>
      </w:r>
      <w:commentRangeEnd w:id="42"/>
      <w:r w:rsidR="009C0B82">
        <w:rPr>
          <w:rStyle w:val="CommentReference"/>
          <w:sz w:val="24"/>
          <w:szCs w:val="24"/>
        </w:rPr>
        <w:commentReference w:id="42"/>
      </w:r>
      <w:commentRangeEnd w:id="43"/>
      <w:r w:rsidR="00F9527E">
        <w:rPr>
          <w:rStyle w:val="CommentReference"/>
          <w:sz w:val="24"/>
          <w:szCs w:val="24"/>
        </w:rPr>
        <w:commentReference w:id="43"/>
      </w:r>
    </w:p>
    <w:p w14:paraId="09E780EF" w14:textId="511D4277" w:rsidR="00FC2324" w:rsidRPr="00C3066D" w:rsidRDefault="006A0FFE" w:rsidP="00A2387C">
      <w:pPr>
        <w:spacing w:after="0" w:line="480" w:lineRule="auto"/>
      </w:pPr>
      <w:r>
        <w:tab/>
      </w:r>
      <w:r w:rsidR="007635F3">
        <w:t>P</w:t>
      </w:r>
      <w:commentRangeStart w:id="45"/>
      <w:r>
        <w:t>ink salmon abundances observed in recent years at Indian River</w:t>
      </w:r>
      <w:r w:rsidR="008D3168">
        <w:t xml:space="preserve"> do not seem to </w:t>
      </w:r>
      <w:r w:rsidR="001B7645">
        <w:t xml:space="preserve">deviate wildly from the </w:t>
      </w:r>
      <w:commentRangeStart w:id="46"/>
      <w:r w:rsidR="001B7645">
        <w:t>regional average</w:t>
      </w:r>
      <w:commentRangeEnd w:id="46"/>
      <w:r w:rsidR="00AF5677">
        <w:rPr>
          <w:rStyle w:val="CommentReference"/>
          <w:sz w:val="24"/>
          <w:szCs w:val="24"/>
        </w:rPr>
        <w:commentReference w:id="46"/>
      </w:r>
      <w:r>
        <w:t xml:space="preserve">. However, plotting these time series is not enough to conclusively state that abundances at Indian River do not differ from those that would be expected of an average pink salmon index stream in the region in a statistically significant way. </w:t>
      </w:r>
      <w:commentRangeEnd w:id="45"/>
      <w:del w:id="47" w:author="Brian McGreal" w:date="2026-03-30T12:29:00Z" w16du:dateUtc="2026-03-30T19:29:00Z">
        <w:r w:rsidR="00AF5677" w:rsidDel="002A4213">
          <w:rPr>
            <w:rStyle w:val="CommentReference"/>
            <w:sz w:val="24"/>
            <w:szCs w:val="24"/>
          </w:rPr>
          <w:commentReference w:id="45"/>
        </w:r>
        <w:r w:rsidR="00B50797" w:rsidDel="002A4213">
          <w:delText xml:space="preserve"> </w:delText>
        </w:r>
      </w:del>
      <w:r w:rsidR="001B7645">
        <w:t xml:space="preserve">Models specified to allow the estimation of different underlying states are compared for best fit (Table 1). The best fit model allows includes a separate underlying state of Indian River pink salmon abundance in odd years, while estimating a single underlying state of pink salmon abundance throughout the region (including Indian River) in even years. </w:t>
      </w:r>
      <w:r w:rsidR="00112BBF">
        <w:t>Due to the difference in AICc of 12.916 between this model and t</w:t>
      </w:r>
      <w:r w:rsidR="001B7645">
        <w:t>he model with the second best fit</w:t>
      </w:r>
      <w:r w:rsidR="00112BBF">
        <w:t xml:space="preserve"> (which</w:t>
      </w:r>
      <w:r w:rsidR="001B7645">
        <w:t xml:space="preserve"> allows for both even- and odd-year Indian River pink salmon abundance to be estimated as separate from </w:t>
      </w:r>
      <w:r w:rsidR="001B7645">
        <w:lastRenderedPageBreak/>
        <w:t>regional abundances</w:t>
      </w:r>
      <w:r w:rsidR="00112BBF">
        <w:t xml:space="preserve">) means that, given the available data, this model can be said to be best with 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AE03EE">
        <w:t xml:space="preserve">differ significantly. It is important to note that this difference may be </w:t>
      </w:r>
      <w:r w:rsidR="00112BBF">
        <w:t xml:space="preserve">may be due to the large differences between </w:t>
      </w:r>
      <w:r w:rsidR="00AE03EE">
        <w:t xml:space="preserve">odd year </w:t>
      </w:r>
      <w:r w:rsidR="00112BBF">
        <w:t xml:space="preserve">time series observed </w:t>
      </w:r>
      <w:r w:rsidR="00AE03EE">
        <w:t>in the first 30 years of the study period (Figure 3), which could suggest that SJH releases may not be a primary driver of this disparity</w:t>
      </w:r>
      <w:r w:rsidR="00112BBF">
        <w:t>.</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5BF7CC99" w14:textId="77777777" w:rsidR="007B0F67" w:rsidRDefault="00672EBC" w:rsidP="003D1E65">
      <w:pPr>
        <w:spacing w:after="0" w:line="480" w:lineRule="auto"/>
      </w:pPr>
      <w:r>
        <w:t xml:space="preserve">Separate </w:t>
      </w:r>
      <w:r w:rsidR="00FE133B">
        <w:t>difference-in-difference</w:t>
      </w:r>
      <w:r>
        <w:t xml:space="preserve"> models were fit for </w:t>
      </w:r>
      <w:r w:rsidR="00FE133B">
        <w:t xml:space="preserve">the post-1980 and post-2010 treatment periods. In both cases, </w:t>
      </w:r>
      <w:r w:rsidR="003D1E65">
        <w:t xml:space="preserve">AICc comparisons find that the best fit </w:t>
      </w:r>
      <w:r w:rsidR="00FE133B">
        <w:t>DD</w:t>
      </w:r>
      <w:r w:rsidR="003D1E65">
        <w:t xml:space="preserve"> models include </w:t>
      </w:r>
      <w:r>
        <w:t xml:space="preserve">only </w:t>
      </w:r>
      <w:r w:rsidR="003D1E65">
        <w:t xml:space="preserve">covariates controlling for observer, </w:t>
      </w:r>
      <w:r>
        <w:t>although the difference in AICc between the best fit model and the</w:t>
      </w:r>
      <w:r w:rsidR="00FE133B">
        <w:t xml:space="preserve"> full</w:t>
      </w:r>
      <w:r>
        <w:t xml:space="preserve"> model</w:t>
      </w:r>
      <w:r w:rsidR="003D1E65">
        <w:t xml:space="preserve"> </w:t>
      </w:r>
      <w:r w:rsidR="00FE133B">
        <w:t>(</w:t>
      </w:r>
      <w:r>
        <w:t>which</w:t>
      </w:r>
      <w:r w:rsidR="003D1E65">
        <w:t xml:space="preserve"> includ</w:t>
      </w:r>
      <w:r>
        <w:t>es</w:t>
      </w:r>
      <w:r w:rsidR="003D1E65">
        <w:t xml:space="preserve"> </w:t>
      </w:r>
      <w:r>
        <w:t xml:space="preserve">covariates for both observer and </w:t>
      </w:r>
      <w:r w:rsidR="003D1E65">
        <w:t>PDO</w:t>
      </w:r>
      <w:r w:rsidR="00FE133B">
        <w:t>)</w:t>
      </w:r>
      <w:r w:rsidR="003D1E65">
        <w:t xml:space="preserve"> </w:t>
      </w:r>
      <w:r>
        <w:t>is less than two</w:t>
      </w:r>
      <w:r w:rsidR="00FE133B">
        <w:t xml:space="preserve"> (</w:t>
      </w:r>
      <w:r w:rsidR="00FE133B">
        <w:rPr>
          <w:rFonts w:cstheme="minorHAnsi"/>
        </w:rPr>
        <w:t>Δ</w:t>
      </w:r>
      <w:r w:rsidR="00FE133B">
        <w:t>AICc</w:t>
      </w:r>
      <w:r w:rsidR="00FE133B">
        <w:t xml:space="preserve"> = 1.577 in the post-1980 model set, and </w:t>
      </w:r>
      <w:r w:rsidR="00FE133B">
        <w:rPr>
          <w:rFonts w:cstheme="minorHAnsi"/>
        </w:rPr>
        <w:t>Δ</w:t>
      </w:r>
      <w:r w:rsidR="00FE133B">
        <w:t xml:space="preserve">AICc = </w:t>
      </w:r>
      <w:r w:rsidR="00FE133B">
        <w:t>0.96</w:t>
      </w:r>
      <w:r w:rsidR="00FE133B">
        <w:t xml:space="preserve"> in the post-</w:t>
      </w:r>
      <w:r w:rsidR="00FE133B">
        <w:t>2010</w:t>
      </w:r>
      <w:r w:rsidR="00FE133B">
        <w:t xml:space="preserve"> model set</w:t>
      </w:r>
      <w:r w:rsidR="00FE133B">
        <w:t>)</w:t>
      </w:r>
      <w:r w:rsidR="003D1E65">
        <w:t xml:space="preserve">. </w:t>
      </w:r>
      <w:r w:rsidR="00FE133B">
        <w:t>This means that despite not being the best fit model, the statistical confidence to reject the full model is lacking. Due to this model uncertainty, an Akaike-weighted average of parameters from each model are</w:t>
      </w:r>
      <w:r w:rsidR="00BB24CA">
        <w:t xml:space="preserve"> evaluated (Burnham &amp; Anderson 2002)</w:t>
      </w:r>
      <w:r w:rsidR="00FE133B">
        <w:t>.</w:t>
      </w:r>
      <w:r w:rsidR="00BB24CA">
        <w:t xml:space="preserve"> </w:t>
      </w:r>
    </w:p>
    <w:p w14:paraId="19FCCE81" w14:textId="723D6094" w:rsidR="003D1E65" w:rsidRDefault="007B0F67" w:rsidP="007B0F67">
      <w:pPr>
        <w:spacing w:after="0" w:line="480" w:lineRule="auto"/>
        <w:ind w:firstLine="720"/>
      </w:pPr>
      <w:r>
        <w:t xml:space="preserve">When evaluating model fit in both the pre-treatment periods, AICc indicates that the </w:t>
      </w:r>
      <w:r>
        <w:t>best fit models include only covariates controlling for observer</w:t>
      </w:r>
      <w:r>
        <w:t>, meaning the</w:t>
      </w:r>
      <w:r w:rsidR="00BB24CA">
        <w:t xml:space="preserve"> </w:t>
      </w:r>
      <w:r w:rsidR="003D1E65">
        <w:t xml:space="preserve">parallel trends </w:t>
      </w:r>
      <w:r w:rsidR="003D1E65">
        <w:lastRenderedPageBreak/>
        <w:t xml:space="preserve">assumption </w:t>
      </w:r>
      <w:r w:rsidR="00BB24CA">
        <w:t xml:space="preserve">is </w:t>
      </w:r>
      <w:r>
        <w:t>will be evaluated including these covariates</w:t>
      </w:r>
      <w:r w:rsidR="00BB24CA">
        <w:t xml:space="preserve">. </w:t>
      </w:r>
      <w:r w:rsidR="003D1E65">
        <w:t>For both odd- and even-year runs, pink salmon abundances at Indian River do not differ significantly from those observed in either pre-treatment period elsewhere in the region (Figure 4), meaning that the parallel trends assumption holds in all cases and there is no need to construct synthetic control groups.</w:t>
      </w:r>
    </w:p>
    <w:p w14:paraId="32509FB1" w14:textId="77777777" w:rsidR="005B1CFB" w:rsidRDefault="00CD3E62" w:rsidP="005B1CFB">
      <w:pPr>
        <w:spacing w:after="0" w:line="480" w:lineRule="auto"/>
      </w:pPr>
      <w:r>
        <w:tab/>
      </w:r>
      <w:r w:rsidR="005B1CFB">
        <w:t xml:space="preserve">Parametric bootstrapping of DD effects of interest reveal interesting patterns of behavior. Critically, no significant effect of treatment group, treatment period, or the interaction of the two is observed in either model (Figure 5). In both models, bootstrap parameter estimates of the effect of treatment group (i.e. Indian River) tend to be positive, although not frequently enough to say with high confidence that the relative effect of Indian River on pink salmon abundances is different than zero.  The effect of the post-treatment period is centered close to zero in all runs across both models. Parameter estimates of the effect of hatchery operations on abundances at Indian River tend to be negative. This surprising result would imply that fish are being drawn from Indian River towards the hatchery and that abundances in the stream have decreased as a result of hatchery operations, although once again it cannot be said with confidence that the true effect is different from zero. </w:t>
      </w:r>
    </w:p>
    <w:p w14:paraId="0E88E592" w14:textId="5A0B0CCF"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49EB5603" w:rsidR="00C3066D" w:rsidRDefault="005B1CFB" w:rsidP="008C144E">
      <w:pPr>
        <w:spacing w:after="0" w:line="480" w:lineRule="auto"/>
      </w:pPr>
      <w:r>
        <w:t>T</w:t>
      </w:r>
      <w:r w:rsidR="00976473">
        <w:t xml:space="preserve">he </w:t>
      </w:r>
      <w:r>
        <w:t>final</w:t>
      </w:r>
      <w:r w:rsidR="00976473">
        <w:t xml:space="preserve"> stage of this research </w:t>
      </w:r>
      <w:r>
        <w:t>d</w:t>
      </w:r>
      <w:r w:rsidR="00976473">
        <w:t>irectly evaluate</w:t>
      </w:r>
      <w:r>
        <w:t>s</w:t>
      </w:r>
      <w:r w:rsidR="00976473">
        <w:t xml:space="preserve"> the effect o</w:t>
      </w:r>
      <w:r w:rsidR="005227E4">
        <w:t>f the volume of pink salmon coming from each source (the river and the hatchery) in brood year t-1 has on the other in brood year t</w:t>
      </w:r>
      <w:r w:rsidR="00976473">
        <w:t>.</w:t>
      </w:r>
      <w:r w:rsidR="00090DA1">
        <w:t xml:space="preserve"> MARSS model</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parameter estimates</w:t>
      </w:r>
      <w:r>
        <w:t xml:space="preserve"> capture these interaction effects</w:t>
      </w:r>
      <w:r w:rsidR="00090DA1">
        <w:t>,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 xml:space="preserve">prior brood year Indian River </w:t>
      </w:r>
      <w:r w:rsidR="00090DA1" w:rsidRPr="00090DA1">
        <w:lastRenderedPageBreak/>
        <w:t>abundance on current brood year</w:t>
      </w:r>
      <w:r w:rsidR="00090DA1">
        <w:t xml:space="preserve"> </w:t>
      </w:r>
      <w:r w:rsidR="00090DA1" w:rsidRPr="00090DA1">
        <w:t>hatchery returns</w:t>
      </w:r>
      <w:r w:rsidR="00090DA1">
        <w:t>, and the effect of prior brood year Indian River abundance on current brood year Indian River abundance</w:t>
      </w:r>
      <w:r>
        <w:t xml:space="preserve"> (Figure 6)</w:t>
      </w:r>
      <w:r w:rsidR="00090DA1">
        <w:t>.</w:t>
      </w:r>
    </w:p>
    <w:p w14:paraId="40ADB905" w14:textId="1F202FC7" w:rsidR="00675815" w:rsidRDefault="00090DA1" w:rsidP="008C144E">
      <w:pPr>
        <w:spacing w:after="0" w:line="480" w:lineRule="auto"/>
      </w:pPr>
      <w:r>
        <w:tab/>
        <w:t xml:space="preserve">The </w:t>
      </w:r>
      <w:r w:rsidR="00855FD8">
        <w:t xml:space="preserve">average </w:t>
      </w:r>
      <w:r w:rsidR="006D7969">
        <w:t>e</w:t>
      </w:r>
      <w:r w:rsidR="006D7969" w:rsidRPr="00090DA1">
        <w:t>ffect of prior brood year hatchery returns on current brood year Indian River abundance</w:t>
      </w:r>
      <w:r w:rsidR="00A21D8D">
        <w:t xml:space="preserve"> was</w:t>
      </w:r>
      <w:r w:rsidR="006D7969">
        <w:t xml:space="preserve"> </w:t>
      </w:r>
      <w:r w:rsidR="009F6B38">
        <w:t xml:space="preserve">positive </w:t>
      </w:r>
      <w:r w:rsidR="006D7969">
        <w:t>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855FD8">
        <w:t>, and in both cases enough parameter estimates fell below zero to diminish statistical confidence in the result</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stronger for both runs than its inverse, it is crucial to note that hatchery returns are </w:t>
      </w:r>
      <w:r w:rsidR="00B00D9B">
        <w:t>greater than Indian River abundance much more often than not. This means that</w:t>
      </w:r>
      <w:r w:rsidR="005C24C4">
        <w:t>,</w:t>
      </w:r>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could be roughly equal or even skewed towards hatchery-born fish returning to Indian River.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p>
    <w:p w14:paraId="791283B6" w14:textId="77777777" w:rsidR="00344905" w:rsidRDefault="00344905" w:rsidP="008C144E">
      <w:pPr>
        <w:spacing w:after="0" w:line="480" w:lineRule="auto"/>
      </w:pPr>
    </w:p>
    <w:bookmarkEnd w:id="41"/>
    <w:p w14:paraId="79B6696A" w14:textId="78F6E4BB" w:rsidR="00670218" w:rsidRPr="008C144E" w:rsidRDefault="0093781E" w:rsidP="008C144E">
      <w:pPr>
        <w:spacing w:after="0" w:line="480" w:lineRule="auto"/>
        <w:rPr>
          <w:b/>
          <w:bCs/>
          <w:u w:val="single"/>
        </w:rPr>
      </w:pPr>
      <w:commentRangeStart w:id="48"/>
      <w:r w:rsidRPr="008C144E">
        <w:rPr>
          <w:b/>
          <w:bCs/>
          <w:u w:val="single"/>
        </w:rPr>
        <w:t>Discussion</w:t>
      </w:r>
      <w:commentRangeEnd w:id="48"/>
      <w:r w:rsidR="00460B8F" w:rsidRPr="008C144E">
        <w:rPr>
          <w:rStyle w:val="CommentReference"/>
          <w:b/>
          <w:bCs/>
          <w:sz w:val="24"/>
          <w:szCs w:val="24"/>
          <w:u w:val="single"/>
        </w:rPr>
        <w:commentReference w:id="48"/>
      </w:r>
    </w:p>
    <w:p w14:paraId="798BA1B1" w14:textId="17DEA9EA" w:rsidR="003B6985" w:rsidRDefault="00716B1F" w:rsidP="008C144E">
      <w:pPr>
        <w:spacing w:after="0" w:line="480" w:lineRule="auto"/>
      </w:pPr>
      <w:commentRangeStart w:id="49"/>
      <w:r>
        <w:t xml:space="preserve">The results of this work are intended first and foremost to provide management at SITK with a comprehensive description of both the impacts of SJH operations and of the population dynamics of pink salmon throughout the broader region.  </w:t>
      </w:r>
      <w:commentRangeEnd w:id="49"/>
      <w:r w:rsidR="00351AE4">
        <w:rPr>
          <w:rStyle w:val="CommentReference"/>
          <w:sz w:val="24"/>
          <w:szCs w:val="24"/>
        </w:rPr>
        <w:commentReference w:id="49"/>
      </w:r>
      <w:commentRangeStart w:id="50"/>
      <w:r>
        <w:t xml:space="preserve">The state of pink salmon abundances </w:t>
      </w:r>
      <w:r>
        <w:lastRenderedPageBreak/>
        <w:t xml:space="preserve">in northern southeast Alaska is changing, as evidenced by Figures 2 &amp; 3. </w:t>
      </w:r>
      <w:commentRangeEnd w:id="50"/>
      <w:r w:rsidR="00351AE4">
        <w:rPr>
          <w:rStyle w:val="CommentReference"/>
          <w:sz w:val="24"/>
          <w:szCs w:val="24"/>
        </w:rPr>
        <w:commentReference w:id="50"/>
      </w:r>
      <w:commentRangeStart w:id="51"/>
      <w:r>
        <w:t xml:space="preserve">Understanding whether pink salmon at Indian River exist within a natural range of variation requires parsing this context. </w:t>
      </w:r>
      <w:commentRangeEnd w:id="51"/>
      <w:r w:rsidR="00351AE4">
        <w:rPr>
          <w:rStyle w:val="CommentReference"/>
          <w:sz w:val="24"/>
          <w:szCs w:val="24"/>
        </w:rPr>
        <w:commentReference w:id="51"/>
      </w:r>
      <w:commentRangeStart w:id="52"/>
      <w:r>
        <w:t xml:space="preserve">While pink salmon densities observed at Indian River in recent decades are high compared to those that were recorded decades ago, </w:t>
      </w:r>
      <w:ins w:id="53" w:author="Mark Scheuerell" w:date="2026-03-07T09:53:00Z" w16du:dateUtc="2026-03-07T17:53:00Z">
        <w:r w:rsidR="00351AE4">
          <w:t xml:space="preserve">more contemporary returns </w:t>
        </w:r>
      </w:ins>
      <w:ins w:id="54" w:author="Mark Scheuerell" w:date="2026-03-07T09:54:00Z" w16du:dateUtc="2026-03-07T17:54:00Z">
        <w:r w:rsidR="00351AE4">
          <w:t xml:space="preserve">of </w:t>
        </w:r>
      </w:ins>
      <w:ins w:id="55" w:author="Mark Scheuerell" w:date="2026-03-07T09:55:00Z" w16du:dateUtc="2026-03-07T17:55:00Z">
        <w:r w:rsidR="00351AE4">
          <w:t xml:space="preserve">adults </w:t>
        </w:r>
      </w:ins>
      <w:ins w:id="56" w:author="Mark Scheuerell" w:date="2026-03-07T09:53:00Z" w16du:dateUtc="2026-03-07T17:53:00Z">
        <w:r w:rsidR="00351AE4">
          <w:t xml:space="preserve">to the </w:t>
        </w:r>
      </w:ins>
      <w:del w:id="57" w:author="Mark Scheuerell" w:date="2026-03-07T09:52:00Z" w16du:dateUtc="2026-03-07T17:52:00Z">
        <w:r w:rsidDel="00351AE4">
          <w:delText xml:space="preserve">a statistical comparison of </w:delText>
        </w:r>
      </w:del>
      <w:r>
        <w:t xml:space="preserve">Indian River </w:t>
      </w:r>
      <w:ins w:id="58" w:author="Mark Scheuerell" w:date="2026-03-07T09:54:00Z" w16du:dateUtc="2026-03-07T17:54:00Z">
        <w:r w:rsidR="00351AE4">
          <w:t xml:space="preserve">in even years are largely in line with </w:t>
        </w:r>
      </w:ins>
      <w:del w:id="59" w:author="Mark Scheuerell" w:date="2026-03-07T09:54:00Z" w16du:dateUtc="2026-03-07T17:54:00Z">
        <w:r w:rsidDel="00351AE4">
          <w:delText xml:space="preserve">to ADFG’s pinks salmon </w:delText>
        </w:r>
      </w:del>
      <w:r>
        <w:t xml:space="preserve">index streams in the </w:t>
      </w:r>
      <w:r w:rsidRPr="003C6E79">
        <w:rPr>
          <w:i/>
          <w:iCs/>
        </w:rPr>
        <w:t xml:space="preserve">north southeast </w:t>
      </w:r>
      <w:r w:rsidRPr="00351AE4">
        <w:rPr>
          <w:rPrChange w:id="60" w:author="Mark Scheuerell" w:date="2026-03-07T09:55:00Z" w16du:dateUtc="2026-03-07T17:55:00Z">
            <w:rPr>
              <w:i/>
              <w:iCs/>
            </w:rPr>
          </w:rPrChange>
        </w:rPr>
        <w:t>(</w:t>
      </w:r>
      <w:r w:rsidRPr="003C6E79">
        <w:rPr>
          <w:i/>
          <w:iCs/>
        </w:rPr>
        <w:t>outside</w:t>
      </w:r>
      <w:r w:rsidRPr="00351AE4">
        <w:rPr>
          <w:rPrChange w:id="61" w:author="Mark Scheuerell" w:date="2026-03-07T09:55:00Z" w16du:dateUtc="2026-03-07T17:55:00Z">
            <w:rPr>
              <w:i/>
              <w:iCs/>
            </w:rPr>
          </w:rPrChange>
        </w:rPr>
        <w:t>)</w:t>
      </w:r>
      <w:ins w:id="62" w:author="Mark Scheuerell" w:date="2026-03-07T09:55:00Z" w16du:dateUtc="2026-03-07T17:55:00Z">
        <w:r w:rsidR="00351AE4" w:rsidRPr="00351AE4">
          <w:rPr>
            <w:rPrChange w:id="63" w:author="Mark Scheuerell" w:date="2026-03-07T09:55:00Z" w16du:dateUtc="2026-03-07T17:55:00Z">
              <w:rPr>
                <w:i/>
                <w:iCs/>
              </w:rPr>
            </w:rPrChange>
          </w:rPr>
          <w:t>, where</w:t>
        </w:r>
        <w:r w:rsidR="00351AE4">
          <w:t xml:space="preserve">as </w:t>
        </w:r>
      </w:ins>
      <w:del w:id="64" w:author="Mark Scheuerell" w:date="2026-03-07T09:55:00Z" w16du:dateUtc="2026-03-07T17:55:00Z">
        <w:r w:rsidRPr="00351AE4" w:rsidDel="00351AE4">
          <w:delText xml:space="preserve"> </w:delText>
        </w:r>
        <w:r w:rsidDel="00351AE4">
          <w:delText xml:space="preserve">region shows that only </w:delText>
        </w:r>
      </w:del>
      <w:r>
        <w:t xml:space="preserve">odd-year runs are not in line with </w:t>
      </w:r>
      <w:ins w:id="65" w:author="Mark Scheuerell" w:date="2026-03-07T09:56:00Z" w16du:dateUtc="2026-03-07T17:56:00Z">
        <w:r w:rsidR="00351AE4">
          <w:t xml:space="preserve">broader </w:t>
        </w:r>
      </w:ins>
      <w:r>
        <w:t xml:space="preserve">regional </w:t>
      </w:r>
      <w:del w:id="66" w:author="Mark Scheuerell" w:date="2026-03-07T09:56:00Z" w16du:dateUtc="2026-03-07T17:56:00Z">
        <w:r w:rsidDel="00351AE4">
          <w:delText>expectations</w:delText>
        </w:r>
      </w:del>
      <w:ins w:id="67" w:author="Mark Scheuerell" w:date="2026-03-07T09:56:00Z" w16du:dateUtc="2026-03-07T17:56:00Z">
        <w:r w:rsidR="00351AE4">
          <w:t>patterns</w:t>
        </w:r>
      </w:ins>
      <w:r>
        <w:t xml:space="preserve">. </w:t>
      </w:r>
      <w:commentRangeEnd w:id="52"/>
      <w:r w:rsidR="00351AE4">
        <w:rPr>
          <w:rStyle w:val="CommentReference"/>
          <w:sz w:val="24"/>
          <w:szCs w:val="24"/>
        </w:rPr>
        <w:commentReference w:id="52"/>
      </w:r>
      <w:r w:rsidR="007C5247">
        <w:t xml:space="preserve">Difference-in-difference modeling indicated that this difference may indeed be driven by Sheldon Jackson Hatchery operations, and the expansion of these operations in 2010 seems to have driven a significant increase in abundances for both even- and odd-year runs. While these results are compelling, they do not reveal the impact of hatchery releases on Indian River pink salmon abundances, only that abundances at Indian River post-2010 (and in the case of odd-year runs, post-1980) are higher than expected relative to the control group. </w:t>
      </w:r>
      <w:del w:id="68" w:author="Mark Scheuerell" w:date="2026-03-07T09:57:00Z" w16du:dateUtc="2026-03-07T17:57:00Z">
        <w:r w:rsidR="00C80629" w:rsidDel="00351AE4">
          <w:delText>That effect is found through</w:delText>
        </w:r>
      </w:del>
      <w:ins w:id="69" w:author="Mark Scheuerell" w:date="2026-03-07T09:57:00Z" w16du:dateUtc="2026-03-07T17:57:00Z">
        <w:r w:rsidR="00351AE4">
          <w:t>This finding was also consistent with</w:t>
        </w:r>
      </w:ins>
      <w:r w:rsidR="00C80629">
        <w:t xml:space="preserve"> time series modeling of Indian River abundances and hatchery returns</w:t>
      </w:r>
      <w:ins w:id="70" w:author="Mark Scheuerell" w:date="2026-03-07T09:57:00Z" w16du:dateUtc="2026-03-07T17:57:00Z">
        <w:r w:rsidR="00351AE4">
          <w:t xml:space="preserve">. Although </w:t>
        </w:r>
      </w:ins>
      <w:ins w:id="71" w:author="Mark Scheuerell" w:date="2026-03-07T09:58:00Z" w16du:dateUtc="2026-03-07T17:58:00Z">
        <w:r w:rsidR="00351AE4">
          <w:t xml:space="preserve">I found </w:t>
        </w:r>
      </w:ins>
      <w:del w:id="72" w:author="Mark Scheuerell" w:date="2026-03-07T09:58:00Z" w16du:dateUtc="2026-03-07T17:58:00Z">
        <w:r w:rsidR="00C80629" w:rsidDel="00351AE4">
          <w:delText xml:space="preserve">, and while this work finds </w:delText>
        </w:r>
      </w:del>
      <w:r w:rsidR="00C80629">
        <w:t xml:space="preserve">a significant effect of hatchery releases on Indian River </w:t>
      </w:r>
      <w:ins w:id="73" w:author="Mark Scheuerell" w:date="2026-03-07T09:58:00Z" w16du:dateUtc="2026-03-07T17:58:00Z">
        <w:r w:rsidR="00351AE4">
          <w:t xml:space="preserve">adult </w:t>
        </w:r>
      </w:ins>
      <w:del w:id="74" w:author="Mark Scheuerell" w:date="2026-03-07T09:58:00Z" w16du:dateUtc="2026-03-07T17:58:00Z">
        <w:r w:rsidR="00C80629" w:rsidDel="00351AE4">
          <w:delText>abundance</w:delText>
        </w:r>
      </w:del>
      <w:ins w:id="75" w:author="Mark Scheuerell" w:date="2026-03-07T09:58:00Z" w16du:dateUtc="2026-03-07T17:58:00Z">
        <w:r w:rsidR="00351AE4">
          <w:t>numbers</w:t>
        </w:r>
      </w:ins>
      <w:del w:id="76" w:author="Mark Scheuerell" w:date="2026-03-07T09:58:00Z" w16du:dateUtc="2026-03-07T17:58:00Z">
        <w:r w:rsidR="00C80629" w:rsidDel="00351AE4">
          <w:delText>s</w:delText>
        </w:r>
      </w:del>
      <w:r w:rsidR="00C80629">
        <w:t>, it also appears that Indian River fish are returning to the hatchery at significant rates.</w:t>
      </w:r>
    </w:p>
    <w:p w14:paraId="27DF658A" w14:textId="13795E18" w:rsidR="00716B1F" w:rsidRDefault="001F7F26" w:rsidP="008C144E">
      <w:pPr>
        <w:spacing w:after="0" w:line="480" w:lineRule="auto"/>
      </w:pPr>
      <w:r>
        <w:tab/>
      </w:r>
      <w:commentRangeStart w:id="77"/>
      <w:r>
        <w:t xml:space="preserve">While it is not the aim of this work to be prescriptive, </w:t>
      </w:r>
      <w:commentRangeEnd w:id="77"/>
      <w:r w:rsidR="00A26CD8">
        <w:rPr>
          <w:rStyle w:val="CommentReference"/>
          <w:sz w:val="24"/>
          <w:szCs w:val="24"/>
        </w:rPr>
        <w:commentReference w:id="77"/>
      </w:r>
      <w:r>
        <w:t xml:space="preserve">it is worth considering the implications of these findings and how they might inform the duties of park officials with respect to conservation. </w:t>
      </w:r>
      <w:r w:rsidR="00062BCE">
        <w:t xml:space="preserve">In even years, Indian River salmon are not out of the ordinary relative to the wider region. While the expansion of hatchery releases in 2010 </w:t>
      </w:r>
      <w:del w:id="78" w:author="Mark Scheuerell" w:date="2026-03-07T10:07:00Z" w16du:dateUtc="2026-03-07T18:07:00Z">
        <w:r w:rsidR="00062BCE" w:rsidDel="00F4609B">
          <w:delText xml:space="preserve">is statistically shown to </w:delText>
        </w:r>
      </w:del>
      <w:r w:rsidR="00062BCE">
        <w:t>coincide</w:t>
      </w:r>
      <w:ins w:id="79" w:author="Mark Scheuerell" w:date="2026-03-07T10:07:00Z" w16du:dateUtc="2026-03-07T18:07:00Z">
        <w:r w:rsidR="00F4609B">
          <w:t>d with</w:t>
        </w:r>
      </w:ins>
      <w:r w:rsidR="00062BCE">
        <w:t xml:space="preserve"> an increase in the numbers of spawning pink salmon at Indian River, the effect of </w:t>
      </w:r>
      <w:r w:rsidR="00062BCE">
        <w:lastRenderedPageBreak/>
        <w:t xml:space="preserve">hatchery returns in the previous brood year on even-year pink salmon abundances are much lower than the effect of fish moving in the other direction. Taken together, </w:t>
      </w:r>
      <w:del w:id="80" w:author="Mark Scheuerell" w:date="2026-03-07T10:07:00Z" w16du:dateUtc="2026-03-07T18:07:00Z">
        <w:r w:rsidR="00062BCE" w:rsidDel="00F4609B">
          <w:delText xml:space="preserve">this suite of evidence makes </w:delText>
        </w:r>
      </w:del>
      <w:r w:rsidR="00062BCE">
        <w:t>it seem</w:t>
      </w:r>
      <w:ins w:id="81" w:author="Mark Scheuerell" w:date="2026-03-07T10:08:00Z" w16du:dateUtc="2026-03-07T18:08:00Z">
        <w:r w:rsidR="00F4609B">
          <w:t>s</w:t>
        </w:r>
      </w:ins>
      <w:r w:rsidR="00062BCE">
        <w:t xml:space="preserve"> likely that even-year runs at Indian River are well within the natural range of variation for the wider region. </w:t>
      </w:r>
      <w:r w:rsidR="00CC7AA4">
        <w:t xml:space="preserve">However, the analysis of odd-year runs tells a different story. </w:t>
      </w:r>
      <w:del w:id="82" w:author="Mark Scheuerell" w:date="2026-03-07T10:09:00Z" w16du:dateUtc="2026-03-07T18:09:00Z">
        <w:r w:rsidR="00CC7AA4" w:rsidDel="00F4609B">
          <w:delText xml:space="preserve">Odd-year runs at Indian River are found differ significantly from the expectation drawn from the wider region. </w:delText>
        </w:r>
      </w:del>
      <w:r w:rsidR="00CC7AA4">
        <w:t>The effect</w:t>
      </w:r>
      <w:ins w:id="83" w:author="Mark Scheuerell" w:date="2026-03-07T10:09:00Z" w16du:dateUtc="2026-03-07T18:09:00Z">
        <w:r w:rsidR="00460B8F">
          <w:t>s of</w:t>
        </w:r>
      </w:ins>
      <w:r w:rsidR="00CC7AA4">
        <w:t xml:space="preserve"> both the commencement and expansion of hatchery operations (1980 and 2010) </w:t>
      </w:r>
      <w:del w:id="84" w:author="Mark Scheuerell" w:date="2026-03-07T10:09:00Z" w16du:dateUtc="2026-03-07T18:09:00Z">
        <w:r w:rsidR="00CC7AA4" w:rsidDel="00460B8F">
          <w:delText xml:space="preserve">are shown to have </w:delText>
        </w:r>
      </w:del>
      <w:r w:rsidR="00CC7AA4">
        <w:t xml:space="preserve">coincided with increases in the numbers of pink salmon at Indian River, above and beyond what was happening elsewhere in the region during those periods. Finally, </w:t>
      </w:r>
      <w:del w:id="85" w:author="Mark Scheuerell" w:date="2026-03-07T10:11:00Z" w16du:dateUtc="2026-03-07T18:11:00Z">
        <w:r w:rsidR="00CC7AA4" w:rsidDel="00460B8F">
          <w:delText>while (like even-year runs),</w:delText>
        </w:r>
      </w:del>
      <w:ins w:id="86" w:author="Mark Scheuerell" w:date="2026-03-07T10:11:00Z" w16du:dateUtc="2026-03-07T18:11:00Z">
        <w:r w:rsidR="00460B8F">
          <w:t>although</w:t>
        </w:r>
      </w:ins>
      <w:r w:rsidR="00CC7AA4">
        <w:t xml:space="preserve"> the effect of hatchery returns in the previous brood year on even-year pink salmon abundances are lower than the effect of fish moving in the other direction, the difference in these effects is not as </w:t>
      </w:r>
      <w:del w:id="87" w:author="Mark Scheuerell" w:date="2026-03-07T10:11:00Z" w16du:dateUtc="2026-03-07T18:11:00Z">
        <w:r w:rsidR="00CC7AA4" w:rsidDel="00460B8F">
          <w:delText>great</w:delText>
        </w:r>
      </w:del>
      <w:ins w:id="88" w:author="Mark Scheuerell" w:date="2026-03-07T10:11:00Z" w16du:dateUtc="2026-03-07T18:11:00Z">
        <w:r w:rsidR="00460B8F">
          <w:t>large</w:t>
        </w:r>
      </w:ins>
      <w:r w:rsidR="00CC7AA4">
        <w:t xml:space="preserve">, </w:t>
      </w:r>
      <w:del w:id="89" w:author="Mark Scheuerell" w:date="2026-03-07T10:12:00Z" w16du:dateUtc="2026-03-07T18:12:00Z">
        <w:r w:rsidR="00CC7AA4" w:rsidDel="00460B8F">
          <w:delText>meaning it is more likely that</w:delText>
        </w:r>
      </w:del>
      <w:ins w:id="90" w:author="Mark Scheuerell" w:date="2026-03-07T10:12:00Z" w16du:dateUtc="2026-03-07T18:12:00Z">
        <w:r w:rsidR="00460B8F">
          <w:t>indicating</w:t>
        </w:r>
      </w:ins>
      <w:r w:rsidR="00CC7AA4">
        <w:t xml:space="preserve"> more fish from the hatchery </w:t>
      </w:r>
      <w:del w:id="91" w:author="Mark Scheuerell" w:date="2026-03-07T10:12:00Z" w16du:dateUtc="2026-03-07T18:12:00Z">
        <w:r w:rsidR="00CC7AA4" w:rsidDel="00460B8F">
          <w:delText>might be</w:delText>
        </w:r>
      </w:del>
      <w:ins w:id="92" w:author="Mark Scheuerell" w:date="2026-03-07T10:12:00Z" w16du:dateUtc="2026-03-07T18:12:00Z">
        <w:r w:rsidR="00460B8F">
          <w:t>are</w:t>
        </w:r>
      </w:ins>
      <w:r w:rsidR="00CC7AA4">
        <w:t xml:space="preserve"> returning to Indian River in a given year than vice versa.</w:t>
      </w:r>
    </w:p>
    <w:p w14:paraId="7D8B9470" w14:textId="426878AB" w:rsidR="00F302DE" w:rsidRDefault="00F302DE" w:rsidP="008C144E">
      <w:pPr>
        <w:spacing w:after="0" w:line="480" w:lineRule="auto"/>
      </w:pPr>
      <w:r>
        <w:tab/>
        <w:t xml:space="preserve">This then illustrates two scenarios. In even years, pink salmon abundances are in line with those observed at ‘pristine’ index streams nearby and thus increases in their spawning densities are likely still within the natural range of variation. </w:t>
      </w:r>
      <w:r w:rsidR="00AE4507">
        <w:t xml:space="preserve">This is not to say that concerns about hypoxia events are not still pressing, but it is worth considering that interceding on behalf of Indian River’s other resident species may run contrary to the natural state of even-year pink salmon. In odd years there exists much more compelling evidence that hatchery releases of pink salmon are influencing abundances at Indian River. </w:t>
      </w:r>
      <w:r w:rsidR="005B3ACD">
        <w:t xml:space="preserve">This is not to say that the hatchery is the main driver of high pink salmon densities in odd years (as Figure 3 shows, spawning abundances of these fish have been on the rise throughout the region for decades), but that hatchery fish </w:t>
      </w:r>
      <w:r w:rsidR="005B3ACD">
        <w:lastRenderedPageBreak/>
        <w:t>are having some influence on abundances seen at Indian River not seen in even-year runs. The differences in these effects may be due to the original broodstock SJH sourced for odd- and even-year runs</w:t>
      </w:r>
      <w:r w:rsidR="009C2CB3">
        <w:t xml:space="preserve"> (recall that the original SJH broodstock for even years came from Indian River, while the broodstock for odd years was sourced from Starrigavan Creek). In any case, this work makes clear that limiting the number of SJH pink salmon moving into Indian River to spawn in odd years may be beneficial for maintaining the wild population in the park within their natural range of variation</w:t>
      </w:r>
      <w:del w:id="93" w:author="Mark Scheuerell" w:date="2026-03-07T10:13:00Z" w16du:dateUtc="2026-03-07T18:13:00Z">
        <w:r w:rsidR="009C2CB3" w:rsidDel="00460B8F">
          <w:delText>, although how this might be accomplished is another question all together which falls outside the scope of this work</w:delText>
        </w:r>
      </w:del>
      <w:r w:rsidR="009C2CB3">
        <w:t>.</w:t>
      </w:r>
    </w:p>
    <w:p w14:paraId="4C795B1D" w14:textId="580C4B89" w:rsidR="00306AE3" w:rsidRDefault="009C2CB3" w:rsidP="008C144E">
      <w:pPr>
        <w:spacing w:after="0" w:line="480" w:lineRule="auto"/>
      </w:pPr>
      <w:r>
        <w:tab/>
        <w:t xml:space="preserve">It is clear from this research that determining the point at which a native species becomes overabundant is not a simple task. In the case of pink salmon at Indian River, this task is made additionally complicated by the fact there two populations </w:t>
      </w:r>
      <w:r w:rsidR="002B1614">
        <w:t>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bookmarkEnd w:id="1"/>
    </w:p>
    <w:p w14:paraId="6ABAA840" w14:textId="77777777" w:rsidR="00306AE3" w:rsidRDefault="00306AE3">
      <w:r>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0"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1" w:history="1">
        <w:r w:rsidRPr="007B1A5E">
          <w:rPr>
            <w:rStyle w:val="Hyperlink"/>
          </w:rPr>
          <w:t>https://mtalab.adfg.alaska.gov/OTO/marking.aspx</w:t>
        </w:r>
      </w:hyperlink>
      <w:r>
        <w:t xml:space="preserve"> (accessed December 14, 2024)</w:t>
      </w:r>
    </w:p>
    <w:p w14:paraId="6C183250" w14:textId="77777777" w:rsidR="000F7853" w:rsidRDefault="000F7853" w:rsidP="000F7853">
      <w:pPr>
        <w:spacing w:line="240" w:lineRule="auto"/>
        <w:ind w:left="720" w:hanging="720"/>
      </w:pPr>
      <w:r>
        <w:t xml:space="preserve">Beckett, K., E. Elle, C. Kremen, A. Sherwood, S. McComb, T. G. Martin. 2022. Hyperabundant black-tailed deer impact endangered Garry oak ecosystem floral and bumblebee communities. </w:t>
      </w:r>
      <w:r>
        <w:rPr>
          <w:i/>
          <w:iCs/>
        </w:rPr>
        <w:t>Global Ecology and Conservation</w:t>
      </w:r>
      <w:r>
        <w:t xml:space="preserve"> 38: 14pp.</w:t>
      </w:r>
    </w:p>
    <w:p w14:paraId="35989E02" w14:textId="1E5C63EE" w:rsidR="00FE133B" w:rsidRDefault="00FE133B" w:rsidP="000F7853">
      <w:pPr>
        <w:spacing w:line="240" w:lineRule="auto"/>
        <w:ind w:left="720" w:hanging="720"/>
        <w:rPr>
          <w:ins w:id="94" w:author="Brian E McGreal" w:date="2026-03-27T09:38:00Z" w16du:dateUtc="2026-03-27T16:38:00Z"/>
        </w:rPr>
      </w:pPr>
      <w:r w:rsidRPr="00FE133B">
        <w:t>Burnham, K. P., &amp;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AD430D6" w:rsidR="009D55B2" w:rsidRPr="00E66FA7" w:rsidRDefault="009D55B2" w:rsidP="009D55B2">
      <w:pPr>
        <w:spacing w:line="240" w:lineRule="auto"/>
        <w:ind w:left="720" w:hanging="720"/>
      </w:pPr>
      <w:ins w:id="95" w:author="Brian E McGreal" w:date="2026-03-27T09:38:00Z" w16du:dateUtc="2026-03-27T16:38:00Z">
        <w:r>
          <w:t xml:space="preserve">Burnham, K. P., D. R. Anderson, K. P. Huyvaert. 2010. AIC model selection and multimodal interference in behavioral ecology: some background, observations, and comparisons. </w:t>
        </w:r>
        <w:r>
          <w:rPr>
            <w:i/>
            <w:iCs/>
          </w:rPr>
          <w:t xml:space="preserve">Behavioral Ecology and Sociobiology </w:t>
        </w:r>
        <w:r>
          <w:t>65: 23-35.</w:t>
        </w:r>
      </w:ins>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32EFCA09" w14:textId="77777777" w:rsidR="000F7853" w:rsidRPr="005A1537"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J. R. Webster. 2005. Loss of foundation species: consequences for the structure and dynamics of forested ecosystems. </w:t>
      </w:r>
      <w:r>
        <w:rPr>
          <w:i/>
          <w:iCs/>
        </w:rPr>
        <w:t>Frontiers in Ecology and the Environment</w:t>
      </w:r>
      <w:r>
        <w:t xml:space="preserve"> 3(9): 479-486.</w:t>
      </w:r>
    </w:p>
    <w:p w14:paraId="34268021" w14:textId="77777777" w:rsidR="000F7853" w:rsidRDefault="000F7853" w:rsidP="000F7853">
      <w:pPr>
        <w:spacing w:line="240" w:lineRule="auto"/>
        <w:ind w:left="720" w:hanging="720"/>
      </w:pPr>
      <w:r>
        <w:t xml:space="preserve">Gende, S. and B. Carter. 2015. </w:t>
      </w:r>
      <w:r w:rsidRPr="00942C32">
        <w:rPr>
          <w:i/>
          <w:iCs/>
        </w:rPr>
        <w:t>Straying rates of pink salmon into the Indian River, Sitka National Historical Park. Final Report – ADF&amp;G Permit # SF2015-225.</w:t>
      </w:r>
      <w:r>
        <w:t xml:space="preserve"> National Park Service, 11 pp.</w:t>
      </w:r>
    </w:p>
    <w:p w14:paraId="440E490E" w14:textId="77777777" w:rsidR="000F7853" w:rsidRDefault="000F7853" w:rsidP="000F7853">
      <w:pPr>
        <w:spacing w:line="240" w:lineRule="auto"/>
        <w:ind w:left="720" w:hanging="720"/>
      </w:pPr>
      <w:r>
        <w:t xml:space="preserve">Gibson, K., K. Skov, S. Kegley, C. Jorgensen, S. Smith, and J. Witcosky. 2008. </w:t>
      </w:r>
      <w:r w:rsidRPr="00DB7D2F">
        <w:t>Mountain Pine Beetle Impacts in High-Elevation Five-Needle Pines: Current Trends and Challenges.</w:t>
      </w:r>
      <w:r>
        <w:t xml:space="preserve"> USDA Forest Service – Forest Health Protection, 40 pp.</w:t>
      </w:r>
    </w:p>
    <w:p w14:paraId="73157A78" w14:textId="77777777" w:rsidR="000F7853" w:rsidRDefault="000F7853" w:rsidP="000F7853">
      <w:pPr>
        <w:spacing w:line="240" w:lineRule="auto"/>
        <w:ind w:left="720" w:hanging="720"/>
      </w:pPr>
      <w:r>
        <w:t xml:space="preserve">Gallardo, B., M. Clavero, M. I. Sánchez, 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77777777" w:rsidR="000F7853" w:rsidRDefault="000F7853" w:rsidP="000F785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4B66BF3D" w14:textId="77777777"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S. Kumschick. 2014. Defining the Impact of Non-Native Species. </w:t>
      </w:r>
      <w:r>
        <w:rPr>
          <w:i/>
          <w:iCs/>
        </w:rPr>
        <w:t>Conservation Biology</w:t>
      </w:r>
      <w:r>
        <w:t xml:space="preserve"> 28(5): 1188-1194.</w:t>
      </w:r>
    </w:p>
    <w:p w14:paraId="3FC36220" w14:textId="77777777" w:rsidR="000F7853" w:rsidRDefault="000F7853" w:rsidP="000F7853">
      <w:pPr>
        <w:spacing w:line="240" w:lineRule="auto"/>
        <w:ind w:left="720" w:hanging="720"/>
      </w:pPr>
      <w:r>
        <w:lastRenderedPageBreak/>
        <w:t xml:space="preserve">Knudsen, E. E., P. S. Rand, K. B. Gorman, D. R. Bernard, W. D. Templin. 2021. Hatchery-origin stray rates and total run characteristics for Pink Salmon and Chum Salmon returning to Prince William Sound, Alaska in 2013-2015. </w:t>
      </w:r>
      <w:r>
        <w:rPr>
          <w:i/>
          <w:iCs/>
        </w:rPr>
        <w:t xml:space="preserve">Marine and Coastal Fisheries </w:t>
      </w:r>
      <w:r>
        <w:t>13(1): 41-68.</w:t>
      </w:r>
    </w:p>
    <w:p w14:paraId="45982CBB" w14:textId="77777777" w:rsidR="000F7853" w:rsidRDefault="000F7853" w:rsidP="000F7853">
      <w:pPr>
        <w:spacing w:line="240" w:lineRule="auto"/>
        <w:ind w:left="720" w:hanging="720"/>
      </w:pPr>
      <w:r>
        <w:t>Manhard, C. V., J. E. Joyce, W. W. Smoker, and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77777777" w:rsidR="00AF5677" w:rsidRDefault="000F7853" w:rsidP="000F7853">
      <w:pPr>
        <w:spacing w:line="240" w:lineRule="auto"/>
        <w:ind w:left="720" w:hanging="720"/>
      </w:pPr>
      <w:r>
        <w:t xml:space="preserve">Mantua, N. J., S. R. Hare, Y. Zhang, J. M. Wallace, and R. C. Francis. A Pacific Interdecadal Climate Oscillation with Impacts on Salmon Production. </w:t>
      </w:r>
      <w:r>
        <w:rPr>
          <w:i/>
          <w:iCs/>
        </w:rPr>
        <w:t>Bulletin of the American Meteorological Society</w:t>
      </w:r>
      <w:r>
        <w:t xml:space="preserve"> 78(6): 1069-1079.</w:t>
      </w:r>
    </w:p>
    <w:p w14:paraId="79F8EA3B" w14:textId="67867E8D" w:rsidR="000F7853"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r w:rsidR="000F7853">
        <w:t xml:space="preserve">  </w:t>
      </w:r>
    </w:p>
    <w:p w14:paraId="5D3ED3A4" w14:textId="77777777" w:rsidR="000F7853" w:rsidRDefault="000F7853" w:rsidP="000F7853">
      <w:pPr>
        <w:spacing w:line="240" w:lineRule="auto"/>
        <w:ind w:left="720" w:hanging="720"/>
      </w:pPr>
      <w:r>
        <w:t xml:space="preserve">Miller, K. M., S. J. Perles, J. P. Schmit, E. R. Matthews, A. S. Weed, J. A. Comiskey, M. R. Marshall, P. Nelson, N. A. Fisichelli. 2023. </w:t>
      </w:r>
      <w:r w:rsidRPr="00656692">
        <w:t>Overabundant deer and invasive plants drive widespread regeneration debt in eastern United States national parks.</w:t>
      </w:r>
      <w:r>
        <w:t xml:space="preserve"> </w:t>
      </w:r>
      <w:r w:rsidRPr="00147E1E">
        <w:t>Ecological Applications</w:t>
      </w:r>
      <w:r>
        <w:rPr>
          <w:i/>
          <w:iCs/>
        </w:rPr>
        <w:t xml:space="preserve"> </w:t>
      </w:r>
      <w:r>
        <w:t>33: 24pp.</w:t>
      </w:r>
    </w:p>
    <w:p w14:paraId="4E4A1E4F" w14:textId="77777777" w:rsidR="000F7853" w:rsidRPr="00E66FA7" w:rsidRDefault="000F7853" w:rsidP="000F7853">
      <w:pPr>
        <w:spacing w:line="240" w:lineRule="auto"/>
        <w:ind w:left="720" w:hanging="720"/>
      </w:pPr>
      <w:r>
        <w:t xml:space="preserve">Moore, J. H., L. Gibson, Z. Amir, W. Chanthorn, A. H. Ahmad, P. A. Jansen, C. P. Mendes, M. Onuma, C. A. Peres, M. S. Luskin. 2023. The rise of hyperabundant native generalists threatens both humans and nature. </w:t>
      </w:r>
      <w:r>
        <w:rPr>
          <w:i/>
          <w:iCs/>
        </w:rPr>
        <w:t>Biological Reviews</w:t>
      </w:r>
      <w:r>
        <w:t xml:space="preserve"> 98(5): 1829-1844.</w:t>
      </w:r>
    </w:p>
    <w:p w14:paraId="0C798D7A" w14:textId="77777777" w:rsidR="000F7853" w:rsidRDefault="000F7853" w:rsidP="000F7853">
      <w:pPr>
        <w:spacing w:line="240" w:lineRule="auto"/>
        <w:ind w:left="720" w:hanging="720"/>
      </w:pPr>
      <w:r>
        <w:t xml:space="preserve">National Park Service. 2025a. Organic Act of 1916. Available at: </w:t>
      </w:r>
      <w:hyperlink r:id="rId12" w:history="1">
        <w:r w:rsidRPr="00096DB2">
          <w:rPr>
            <w:rStyle w:val="Hyperlink"/>
          </w:rPr>
          <w:t>https://www.nps.gov/grba/learn/management/organic-act-of-1916.htm</w:t>
        </w:r>
      </w:hyperlink>
      <w:r>
        <w:t xml:space="preserve"> (accessed March 27, 2025)</w:t>
      </w:r>
    </w:p>
    <w:p w14:paraId="2E352D74" w14:textId="77777777" w:rsidR="000F7853" w:rsidRPr="00096DB2" w:rsidRDefault="000F7853" w:rsidP="000F7853">
      <w:pPr>
        <w:spacing w:line="240" w:lineRule="auto"/>
        <w:ind w:left="720" w:hanging="720"/>
        <w:rPr>
          <w:i/>
          <w:iCs/>
        </w:rPr>
      </w:pPr>
      <w:r>
        <w:t xml:space="preserve">National Park Service. 2025b. Sitka National Historical Park. Available at: </w:t>
      </w:r>
      <w:hyperlink r:id="rId13" w:history="1">
        <w:r w:rsidRPr="00096DB2">
          <w:rPr>
            <w:rStyle w:val="Hyperlink"/>
          </w:rPr>
          <w:t>https://www.nps.gov/sitk/index.htm</w:t>
        </w:r>
      </w:hyperlink>
      <w:r>
        <w:t xml:space="preserve"> (accessed March 18, 2025)</w:t>
      </w:r>
      <w:r>
        <w:rPr>
          <w:i/>
          <w:iCs/>
        </w:rPr>
        <w:t xml:space="preserve"> </w:t>
      </w:r>
    </w:p>
    <w:p w14:paraId="491D9474" w14:textId="77777777"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0ED513C4" w14:textId="77777777" w:rsidR="000F7853" w:rsidRDefault="000F7853" w:rsidP="000F7853">
      <w:pPr>
        <w:spacing w:line="240" w:lineRule="auto"/>
        <w:ind w:left="720" w:hanging="720"/>
      </w:pPr>
      <w:r>
        <w:t xml:space="preserve">Sambaraju, K. R., D. W. Goodman. 2021. Mountain pine beetle: an example of a climate-driven eruptive insect impacting conifer forest ecosystems. </w:t>
      </w:r>
      <w:r>
        <w:rPr>
          <w:i/>
          <w:iCs/>
        </w:rPr>
        <w:t>CABI Reviews</w:t>
      </w:r>
      <w:r>
        <w:t>: 18pp.</w:t>
      </w:r>
    </w:p>
    <w:p w14:paraId="27B12705" w14:textId="5F018B2F" w:rsidR="00310948" w:rsidRDefault="00310948" w:rsidP="00310948">
      <w:pPr>
        <w:spacing w:line="240" w:lineRule="auto"/>
        <w:ind w:left="720" w:hanging="720"/>
      </w:pPr>
      <w:r>
        <w:t xml:space="preserve">Scheuerell, M. D., E. R. Buhle, B. X. Semmens, M. J. Ford, T. Cooney, R. W. Carmichael. 2015. Analyzing large-scale conservation interventions with Bayesian hierarchical models: a case study of supplementing threated Pacific salmon. </w:t>
      </w:r>
      <w:r>
        <w:rPr>
          <w:i/>
          <w:iCs/>
        </w:rPr>
        <w:t xml:space="preserve">Ecology and Evolution </w:t>
      </w:r>
      <w:r>
        <w:t>5(10): 2115-2125.</w:t>
      </w:r>
    </w:p>
    <w:p w14:paraId="1F63EFB7" w14:textId="77777777" w:rsidR="000F7853" w:rsidRPr="005810E6" w:rsidRDefault="000F7853" w:rsidP="000F7853">
      <w:pPr>
        <w:spacing w:line="240" w:lineRule="auto"/>
        <w:ind w:left="720" w:hanging="720"/>
      </w:pPr>
      <w:r>
        <w:t xml:space="preserve">Sergeant, C. J., J. R. Bellmore, C. McConnell, 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7777777" w:rsidR="000F7853" w:rsidRDefault="000F7853" w:rsidP="000F7853">
      <w:pPr>
        <w:spacing w:line="240" w:lineRule="auto"/>
        <w:ind w:left="720" w:hanging="720"/>
      </w:pPr>
      <w:r>
        <w:t xml:space="preserve">Sergeant, C. J., J. R. Bellmore, R. A. Bellmore, J. A. Falke, F. J. Mueter, and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lastRenderedPageBreak/>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77777777" w:rsidR="000F7853" w:rsidRDefault="000F7853" w:rsidP="000F7853">
      <w:pPr>
        <w:spacing w:line="240" w:lineRule="auto"/>
        <w:ind w:left="720" w:hanging="720"/>
      </w:pPr>
      <w:r>
        <w:t>Tillotson, M. D.,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3-09T09:03:00Z" w:initials="BM">
    <w:p w14:paraId="7CB9D6C5" w14:textId="77777777" w:rsidR="009845B1" w:rsidRDefault="009845B1" w:rsidP="009845B1">
      <w:pPr>
        <w:pStyle w:val="CommentText"/>
      </w:pPr>
      <w:r>
        <w:rPr>
          <w:rStyle w:val="CommentReference"/>
        </w:rPr>
        <w:annotationRef/>
      </w:r>
      <w:r>
        <w:t>Adjust this from AK Park Science</w:t>
      </w:r>
    </w:p>
  </w:comment>
  <w:comment w:id="5" w:author="Mark Scheuerell" w:date="2026-03-06T05:33:00Z" w:initials="s">
    <w:p w14:paraId="24305DAB" w14:textId="77777777" w:rsidR="00F6199D" w:rsidRDefault="00F6199D">
      <w:pPr>
        <w:pStyle w:val="CommentText"/>
      </w:pPr>
      <w:r>
        <w:rPr>
          <w:rStyle w:val="CommentReference"/>
        </w:rPr>
        <w:annotationRef/>
      </w:r>
      <w:r>
        <w:t>Please add a title page.</w:t>
      </w:r>
    </w:p>
    <w:p w14:paraId="1FF67B2E" w14:textId="77777777" w:rsidR="00F6199D" w:rsidRDefault="00F6199D">
      <w:pPr>
        <w:pStyle w:val="CommentText"/>
      </w:pPr>
    </w:p>
    <w:p w14:paraId="2FF355B0" w14:textId="77777777" w:rsidR="00F6199D" w:rsidRDefault="00F6199D">
      <w:pPr>
        <w:pStyle w:val="CommentText"/>
      </w:pPr>
      <w:r>
        <w:t>For the manuscript, you’ll also need to include the info here:</w:t>
      </w:r>
    </w:p>
    <w:p w14:paraId="2604FD2C" w14:textId="692E9F4F" w:rsidR="00F6199D" w:rsidRDefault="00F6199D">
      <w:pPr>
        <w:pStyle w:val="CommentText"/>
      </w:pPr>
      <w:r w:rsidRPr="00F6199D">
        <w:t>https://scheuerell-lab.github.io/lab-book/publications.html#usgs-fundamental-science-practices</w:t>
      </w:r>
    </w:p>
  </w:comment>
  <w:comment w:id="33" w:author="Brian E McGreal" w:date="2026-03-09T09:23:00Z" w:initials="BM">
    <w:p w14:paraId="3913DD12" w14:textId="77777777" w:rsidR="00226B01" w:rsidRDefault="00226B01" w:rsidP="00226B01">
      <w:pPr>
        <w:pStyle w:val="CommentText"/>
      </w:pPr>
      <w:r>
        <w:rPr>
          <w:rStyle w:val="CommentReference"/>
        </w:rPr>
        <w:annotationRef/>
      </w:r>
      <w:r>
        <w:t>I use this language above</w:t>
      </w:r>
    </w:p>
  </w:comment>
  <w:comment w:id="35" w:author="Brian McGreal" w:date="2026-03-24T16:49:00Z" w:initials="BM">
    <w:p w14:paraId="61FC6D56" w14:textId="2702966C" w:rsidR="009056D1" w:rsidRDefault="009056D1">
      <w:pPr>
        <w:pStyle w:val="CommentText"/>
      </w:pPr>
      <w:r>
        <w:rPr>
          <w:rStyle w:val="CommentReference"/>
        </w:rPr>
        <w:annotationRef/>
      </w:r>
      <w:r>
        <w:t>This sequence feels lame</w:t>
      </w:r>
    </w:p>
  </w:comment>
  <w:comment w:id="36" w:author="Brian McGreal" w:date="2026-03-30T12:41:00Z" w:initials="BM">
    <w:p w14:paraId="5FCED028" w14:textId="36CA80ED" w:rsidR="00A2387C" w:rsidRDefault="00A2387C">
      <w:pPr>
        <w:pStyle w:val="CommentText"/>
      </w:pPr>
      <w:r>
        <w:rPr>
          <w:rStyle w:val="CommentReference"/>
        </w:rPr>
        <w:annotationRef/>
      </w:r>
      <w:r>
        <w:t>Weird sentence</w:t>
      </w:r>
    </w:p>
  </w:comment>
  <w:comment w:id="39" w:author="Mark Scheuerell" w:date="2026-03-06T06:22:00Z" w:initials="s">
    <w:p w14:paraId="57FEDFCD" w14:textId="5FA3002A" w:rsidR="00205B63" w:rsidRDefault="00205B63">
      <w:pPr>
        <w:pStyle w:val="CommentText"/>
      </w:pPr>
      <w:r>
        <w:rPr>
          <w:rStyle w:val="CommentReference"/>
        </w:rPr>
        <w:annotationRef/>
      </w:r>
      <w:r>
        <w:t>This seems repeated from the intro</w:t>
      </w:r>
    </w:p>
  </w:comment>
  <w:comment w:id="40" w:author="Brian McGreal" w:date="2026-03-30T12:26:00Z" w:initials="BM">
    <w:p w14:paraId="6BD11D19" w14:textId="399304D7" w:rsidR="00F275C7" w:rsidRDefault="00F275C7">
      <w:pPr>
        <w:pStyle w:val="CommentText"/>
      </w:pPr>
      <w:r>
        <w:rPr>
          <w:rStyle w:val="CommentReference"/>
        </w:rPr>
        <w:annotationRef/>
      </w:r>
      <w:r>
        <w:t>I don’t see where this is discussed. I can add it into the intro.</w:t>
      </w:r>
    </w:p>
  </w:comment>
  <w:comment w:id="37"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38" w:author="Brian McGreal" w:date="2026-03-30T12:26:00Z" w:initials="BM">
    <w:p w14:paraId="5D9E908C" w14:textId="2956738B" w:rsidR="00F275C7" w:rsidRDefault="00F275C7">
      <w:pPr>
        <w:pStyle w:val="CommentText"/>
      </w:pPr>
      <w:r>
        <w:rPr>
          <w:rStyle w:val="CommentReference"/>
        </w:rPr>
        <w:annotationRef/>
      </w:r>
      <w:r>
        <w:t>This seems important to me? We should discuss further..</w:t>
      </w:r>
    </w:p>
  </w:comment>
  <w:comment w:id="44" w:author="Brian McGreal" w:date="2026-03-30T14:58:00Z" w:initials="BM">
    <w:p w14:paraId="12ACF803" w14:textId="42ABB0A7" w:rsidR="00837571" w:rsidRDefault="00837571">
      <w:pPr>
        <w:pStyle w:val="CommentText"/>
      </w:pPr>
      <w:r>
        <w:rPr>
          <w:rStyle w:val="CommentReference"/>
        </w:rPr>
        <w:annotationRef/>
      </w:r>
      <w:r>
        <w:t>Does this language work? Or ‘regional expectation’?</w:t>
      </w:r>
    </w:p>
  </w:comment>
  <w:comment w:id="42"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43" w:author="Brian McGreal" w:date="2026-03-30T14:45:00Z" w:initials="BM">
    <w:p w14:paraId="23F275B2" w14:textId="5DA66F39" w:rsidR="00F9527E" w:rsidRDefault="00F9527E">
      <w:pPr>
        <w:pStyle w:val="CommentText"/>
      </w:pPr>
      <w:r>
        <w:rPr>
          <w:rStyle w:val="CommentReference"/>
        </w:rPr>
        <w:annotationRef/>
      </w:r>
      <w:r>
        <w:t>I can back transform the Indian River state estimates into raw values, but because the state estimate related to the region is derived from 35 index streams, I don’t have a single mean/sd to apply to those values..</w:t>
      </w:r>
    </w:p>
  </w:comment>
  <w:comment w:id="46" w:author="Brian McGreal" w:date="2026-03-30T15:05:00Z" w:initials="BM">
    <w:p w14:paraId="090708CA" w14:textId="463CCD79" w:rsidR="001B7645" w:rsidRDefault="001B7645">
      <w:pPr>
        <w:pStyle w:val="CommentText"/>
      </w:pPr>
      <w:r>
        <w:rPr>
          <w:rStyle w:val="CommentReference"/>
        </w:rPr>
        <w:annotationRef/>
      </w:r>
      <w:r>
        <w:t>Here again</w:t>
      </w:r>
    </w:p>
  </w:comment>
  <w:comment w:id="45" w:author="Mark Scheuerell" w:date="2026-03-07T09:11:00Z" w:initials="s">
    <w:p w14:paraId="38DE934D" w14:textId="75BBD858" w:rsidR="00A227BE" w:rsidRDefault="00A227BE">
      <w:pPr>
        <w:pStyle w:val="CommentText"/>
      </w:pPr>
      <w:r>
        <w:rPr>
          <w:rStyle w:val="CommentReference"/>
        </w:rPr>
        <w:annotationRef/>
      </w:r>
      <w:r>
        <w:t>These statements also seem to be based on the z-scored states. If you want to stick with this, I think you’ll have to discuss differences in terms of SD’s (eg, “site 1 was ~2 SD’s greater than site 2”)</w:t>
      </w:r>
    </w:p>
  </w:comment>
  <w:comment w:id="48" w:author="Mark Scheuerell" w:date="2026-03-07T10:13:00Z" w:initials="s">
    <w:p w14:paraId="20175822" w14:textId="1A8CC909" w:rsidR="00460B8F" w:rsidRDefault="00460B8F">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 w:id="49" w:author="Mark Scheuerell" w:date="2026-03-07T09:50:00Z" w:initials="s">
    <w:p w14:paraId="0B602A23" w14:textId="084E9895" w:rsidR="00351AE4" w:rsidRDefault="00351AE4">
      <w:pPr>
        <w:pStyle w:val="CommentText"/>
      </w:pPr>
      <w:r>
        <w:rPr>
          <w:rStyle w:val="CommentReference"/>
        </w:rPr>
        <w:annotationRef/>
      </w:r>
      <w:r>
        <w:t>I’d move this lower down</w:t>
      </w:r>
    </w:p>
  </w:comment>
  <w:comment w:id="50" w:author="Mark Scheuerell" w:date="2026-03-07T09:50:00Z" w:initials="s">
    <w:p w14:paraId="37F6BE27" w14:textId="7D89C9DF" w:rsidR="00351AE4" w:rsidRDefault="00351AE4">
      <w:pPr>
        <w:pStyle w:val="CommentText"/>
      </w:pPr>
      <w:r>
        <w:rPr>
          <w:rStyle w:val="CommentReference"/>
        </w:rPr>
        <w:annotationRef/>
      </w:r>
      <w:r>
        <w:rPr>
          <w:rStyle w:val="CommentReference"/>
        </w:rPr>
        <w:t>V</w:t>
      </w:r>
      <w:r>
        <w:t>ague statements like this don’t lend much (ie, changing how?)</w:t>
      </w:r>
    </w:p>
  </w:comment>
  <w:comment w:id="51" w:author="Mark Scheuerell" w:date="2026-03-07T09:51:00Z" w:initials="s">
    <w:p w14:paraId="72E7B414" w14:textId="0006CB0F" w:rsidR="00351AE4" w:rsidRDefault="00351AE4">
      <w:pPr>
        <w:pStyle w:val="CommentText"/>
      </w:pPr>
      <w:r>
        <w:rPr>
          <w:rStyle w:val="CommentReference"/>
        </w:rPr>
        <w:annotationRef/>
      </w:r>
      <w:r>
        <w:t>This seems like justification for the approach, which belongs in the intro and methods.</w:t>
      </w:r>
    </w:p>
  </w:comment>
  <w:comment w:id="52" w:author="Mark Scheuerell" w:date="2026-03-07T09:52:00Z" w:initials="s">
    <w:p w14:paraId="1EDB6DCA" w14:textId="0EF8056C" w:rsidR="00351AE4" w:rsidRDefault="00351AE4">
      <w:pPr>
        <w:pStyle w:val="CommentText"/>
      </w:pPr>
      <w:r>
        <w:rPr>
          <w:rStyle w:val="CommentReference"/>
        </w:rPr>
        <w:annotationRef/>
      </w:r>
      <w:r>
        <w:t>This would be a much better beginning to this section</w:t>
      </w:r>
    </w:p>
  </w:comment>
  <w:comment w:id="77" w:author="Mark Scheuerell" w:date="2026-03-07T09:59:00Z" w:initials="s">
    <w:p w14:paraId="708E6CAD" w14:textId="43497AFC" w:rsidR="00A26CD8" w:rsidRDefault="00A26CD8">
      <w:pPr>
        <w:pStyle w:val="CommentText"/>
      </w:pPr>
      <w:r>
        <w:rPr>
          <w:rStyle w:val="CommentReference"/>
        </w:rPr>
        <w:annotationRef/>
      </w:r>
      <w:r>
        <w:t>Yeah, and none of the papers that I’m a co-author on can be normative anyway… I would just begin with the phrase following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B9D6C5" w15:done="0"/>
  <w15:commentEx w15:paraId="2604FD2C" w15:done="0"/>
  <w15:commentEx w15:paraId="3913DD12" w15:done="0"/>
  <w15:commentEx w15:paraId="61FC6D56" w15:done="0"/>
  <w15:commentEx w15:paraId="5FCED028" w15:done="0"/>
  <w15:commentEx w15:paraId="57FEDFCD" w15:done="0"/>
  <w15:commentEx w15:paraId="6BD11D19" w15:paraIdParent="57FEDFCD" w15:done="0"/>
  <w15:commentEx w15:paraId="1D25BEBF" w15:done="0"/>
  <w15:commentEx w15:paraId="5D9E908C" w15:paraIdParent="1D25BEBF" w15:done="0"/>
  <w15:commentEx w15:paraId="12ACF803" w15:done="0"/>
  <w15:commentEx w15:paraId="462547C8" w15:done="0"/>
  <w15:commentEx w15:paraId="23F275B2" w15:paraIdParent="462547C8" w15:done="0"/>
  <w15:commentEx w15:paraId="090708CA" w15:done="0"/>
  <w15:commentEx w15:paraId="38DE934D" w15:done="0"/>
  <w15:commentEx w15:paraId="20175822" w15:done="0"/>
  <w15:commentEx w15:paraId="0B602A23" w15:done="0"/>
  <w15:commentEx w15:paraId="37F6BE27" w15:done="0"/>
  <w15:commentEx w15:paraId="72E7B414" w15:done="0"/>
  <w15:commentEx w15:paraId="1EDB6DCA" w15:done="0"/>
  <w15:commentEx w15:paraId="708E6CA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140219" w16cex:dateUtc="2026-03-09T16:03:00Z"/>
  <w16cex:commentExtensible w16cex:durableId="73482A45" w16cex:dateUtc="2026-03-06T13:33:00Z">
    <w16cex:extLst>
      <w16:ext w16:uri="{CE6994B0-6A32-4C9F-8C6B-6E91EDA988CE}">
        <cr:reactions xmlns:cr="http://schemas.microsoft.com/office/comments/2020/reactions">
          <cr:reaction reactionType="1">
            <cr:reactionInfo dateUtc="2026-03-09T16:05:11Z">
              <cr:user userId="S::bmcgreal@uw.edu::500ccbb3-e957-4a38-850c-c0c2fd4a68d5" userProvider="AD" userName="Brian E McGreal"/>
            </cr:reactionInfo>
          </cr:reaction>
        </cr:reactions>
      </w16:ext>
    </w16cex:extLst>
  </w16cex:commentExtensible>
  <w16cex:commentExtensible w16cex:durableId="08D800E2" w16cex:dateUtc="2026-03-09T16:23:00Z"/>
  <w16cex:commentExtensible w16cex:durableId="502D5DF3" w16cex:dateUtc="2026-03-24T23:49:00Z"/>
  <w16cex:commentExtensible w16cex:durableId="023D634E" w16cex:dateUtc="2026-03-30T19:41:00Z"/>
  <w16cex:commentExtensible w16cex:durableId="588C617E" w16cex:dateUtc="2026-03-06T14:22:00Z"/>
  <w16cex:commentExtensible w16cex:durableId="0DBE9D12" w16cex:dateUtc="2026-03-30T19:26:00Z"/>
  <w16cex:commentExtensible w16cex:durableId="4F05BC0A" w16cex:dateUtc="2026-03-06T14:28:00Z"/>
  <w16cex:commentExtensible w16cex:durableId="27350D5D" w16cex:dateUtc="2026-03-30T19:26:00Z"/>
  <w16cex:commentExtensible w16cex:durableId="50C632B6" w16cex:dateUtc="2026-03-30T21:58:00Z"/>
  <w16cex:commentExtensible w16cex:durableId="206F53A5" w16cex:dateUtc="2026-03-07T17:07:00Z"/>
  <w16cex:commentExtensible w16cex:durableId="44C801D1" w16cex:dateUtc="2026-03-30T21:45:00Z"/>
  <w16cex:commentExtensible w16cex:durableId="32D3276B" w16cex:dateUtc="2026-03-30T22:05:00Z"/>
  <w16cex:commentExtensible w16cex:durableId="443E45A5" w16cex:dateUtc="2026-03-07T17:11:00Z"/>
  <w16cex:commentExtensible w16cex:durableId="4E6740D1" w16cex:dateUtc="2026-03-07T18:13:00Z"/>
  <w16cex:commentExtensible w16cex:durableId="168175C5" w16cex:dateUtc="2026-03-07T17:50:00Z"/>
  <w16cex:commentExtensible w16cex:durableId="36111843" w16cex:dateUtc="2026-03-07T17:50:00Z"/>
  <w16cex:commentExtensible w16cex:durableId="4D1AC833" w16cex:dateUtc="2026-03-07T17:51:00Z"/>
  <w16cex:commentExtensible w16cex:durableId="727C578C" w16cex:dateUtc="2026-03-07T17:52:00Z"/>
  <w16cex:commentExtensible w16cex:durableId="11A09FFC" w16cex:dateUtc="2026-03-07T17: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B9D6C5" w16cid:durableId="68140219"/>
  <w16cid:commentId w16cid:paraId="2604FD2C" w16cid:durableId="73482A45"/>
  <w16cid:commentId w16cid:paraId="3913DD12" w16cid:durableId="08D800E2"/>
  <w16cid:commentId w16cid:paraId="61FC6D56" w16cid:durableId="502D5DF3"/>
  <w16cid:commentId w16cid:paraId="5FCED028" w16cid:durableId="023D634E"/>
  <w16cid:commentId w16cid:paraId="57FEDFCD" w16cid:durableId="588C617E"/>
  <w16cid:commentId w16cid:paraId="6BD11D19" w16cid:durableId="0DBE9D12"/>
  <w16cid:commentId w16cid:paraId="1D25BEBF" w16cid:durableId="4F05BC0A"/>
  <w16cid:commentId w16cid:paraId="5D9E908C" w16cid:durableId="27350D5D"/>
  <w16cid:commentId w16cid:paraId="12ACF803" w16cid:durableId="50C632B6"/>
  <w16cid:commentId w16cid:paraId="462547C8" w16cid:durableId="206F53A5"/>
  <w16cid:commentId w16cid:paraId="23F275B2" w16cid:durableId="44C801D1"/>
  <w16cid:commentId w16cid:paraId="090708CA" w16cid:durableId="32D3276B"/>
  <w16cid:commentId w16cid:paraId="38DE934D" w16cid:durableId="443E45A5"/>
  <w16cid:commentId w16cid:paraId="20175822" w16cid:durableId="4E6740D1"/>
  <w16cid:commentId w16cid:paraId="0B602A23" w16cid:durableId="168175C5"/>
  <w16cid:commentId w16cid:paraId="37F6BE27" w16cid:durableId="36111843"/>
  <w16cid:commentId w16cid:paraId="72E7B414" w16cid:durableId="4D1AC833"/>
  <w16cid:commentId w16cid:paraId="1EDB6DCA" w16cid:durableId="727C578C"/>
  <w16cid:commentId w16cid:paraId="708E6CAD" w16cid:durableId="11A09FF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Mark Scheuerell">
    <w15:presenceInfo w15:providerId="AD" w15:userId="S::scheuerl@uw.edu::e5f041e9-888e-425f-b2ff-0ef18f5f5e6d"/>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0EB8"/>
    <w:rsid w:val="0006107E"/>
    <w:rsid w:val="00062BCE"/>
    <w:rsid w:val="00070D06"/>
    <w:rsid w:val="00086DA1"/>
    <w:rsid w:val="00090DA1"/>
    <w:rsid w:val="00096995"/>
    <w:rsid w:val="00097C72"/>
    <w:rsid w:val="000A0753"/>
    <w:rsid w:val="000C6459"/>
    <w:rsid w:val="000D21FB"/>
    <w:rsid w:val="000F7853"/>
    <w:rsid w:val="00106EE6"/>
    <w:rsid w:val="001111B6"/>
    <w:rsid w:val="00112BBF"/>
    <w:rsid w:val="00114A77"/>
    <w:rsid w:val="00121CF4"/>
    <w:rsid w:val="001262D0"/>
    <w:rsid w:val="00143CB9"/>
    <w:rsid w:val="001A405D"/>
    <w:rsid w:val="001A6AA2"/>
    <w:rsid w:val="001B7645"/>
    <w:rsid w:val="001D457C"/>
    <w:rsid w:val="001D51EA"/>
    <w:rsid w:val="001D5683"/>
    <w:rsid w:val="001D716E"/>
    <w:rsid w:val="001E1CBF"/>
    <w:rsid w:val="001E29F4"/>
    <w:rsid w:val="001F775B"/>
    <w:rsid w:val="001F7F26"/>
    <w:rsid w:val="00205B63"/>
    <w:rsid w:val="00207CF5"/>
    <w:rsid w:val="00223722"/>
    <w:rsid w:val="00226B01"/>
    <w:rsid w:val="00232D52"/>
    <w:rsid w:val="00246989"/>
    <w:rsid w:val="00252296"/>
    <w:rsid w:val="002657D1"/>
    <w:rsid w:val="0029325E"/>
    <w:rsid w:val="002A355E"/>
    <w:rsid w:val="002A4213"/>
    <w:rsid w:val="002B1614"/>
    <w:rsid w:val="002D28DF"/>
    <w:rsid w:val="002D76A3"/>
    <w:rsid w:val="002E34E7"/>
    <w:rsid w:val="00303024"/>
    <w:rsid w:val="00306AE3"/>
    <w:rsid w:val="00310948"/>
    <w:rsid w:val="00321B88"/>
    <w:rsid w:val="0033098E"/>
    <w:rsid w:val="00336763"/>
    <w:rsid w:val="00344905"/>
    <w:rsid w:val="00351AE4"/>
    <w:rsid w:val="003542B1"/>
    <w:rsid w:val="003633DB"/>
    <w:rsid w:val="00376A4E"/>
    <w:rsid w:val="003772FF"/>
    <w:rsid w:val="00391B74"/>
    <w:rsid w:val="003B4882"/>
    <w:rsid w:val="003B6985"/>
    <w:rsid w:val="003C5745"/>
    <w:rsid w:val="003C6E79"/>
    <w:rsid w:val="003C77AC"/>
    <w:rsid w:val="003D1E65"/>
    <w:rsid w:val="003D5D39"/>
    <w:rsid w:val="00402DA4"/>
    <w:rsid w:val="00412816"/>
    <w:rsid w:val="00414541"/>
    <w:rsid w:val="004217D3"/>
    <w:rsid w:val="00421CE7"/>
    <w:rsid w:val="00427DB5"/>
    <w:rsid w:val="004327DF"/>
    <w:rsid w:val="00460B8F"/>
    <w:rsid w:val="00494B76"/>
    <w:rsid w:val="004A1DBD"/>
    <w:rsid w:val="004B019B"/>
    <w:rsid w:val="004C58F2"/>
    <w:rsid w:val="005078EE"/>
    <w:rsid w:val="005227E4"/>
    <w:rsid w:val="005363D0"/>
    <w:rsid w:val="005565C2"/>
    <w:rsid w:val="00572D2B"/>
    <w:rsid w:val="00574432"/>
    <w:rsid w:val="00576D64"/>
    <w:rsid w:val="005B1667"/>
    <w:rsid w:val="005B1CFB"/>
    <w:rsid w:val="005B3ACD"/>
    <w:rsid w:val="005C24C4"/>
    <w:rsid w:val="005C4DB8"/>
    <w:rsid w:val="005D4C4C"/>
    <w:rsid w:val="005D5E6A"/>
    <w:rsid w:val="005F56EA"/>
    <w:rsid w:val="005F6F08"/>
    <w:rsid w:val="006002FE"/>
    <w:rsid w:val="00606257"/>
    <w:rsid w:val="00606949"/>
    <w:rsid w:val="00612D9D"/>
    <w:rsid w:val="00614E66"/>
    <w:rsid w:val="006178EC"/>
    <w:rsid w:val="00625D54"/>
    <w:rsid w:val="00626338"/>
    <w:rsid w:val="00633AFA"/>
    <w:rsid w:val="00647DF2"/>
    <w:rsid w:val="00666290"/>
    <w:rsid w:val="00670218"/>
    <w:rsid w:val="00672EBC"/>
    <w:rsid w:val="00675815"/>
    <w:rsid w:val="006A0FFE"/>
    <w:rsid w:val="006B1A2E"/>
    <w:rsid w:val="006B5A94"/>
    <w:rsid w:val="006C6D25"/>
    <w:rsid w:val="006D7969"/>
    <w:rsid w:val="006E0493"/>
    <w:rsid w:val="006E6B42"/>
    <w:rsid w:val="00716B1F"/>
    <w:rsid w:val="00723599"/>
    <w:rsid w:val="00731AF8"/>
    <w:rsid w:val="00740E18"/>
    <w:rsid w:val="00741B88"/>
    <w:rsid w:val="007635F3"/>
    <w:rsid w:val="00773DA7"/>
    <w:rsid w:val="00795151"/>
    <w:rsid w:val="007B0F67"/>
    <w:rsid w:val="007B55B0"/>
    <w:rsid w:val="007C003B"/>
    <w:rsid w:val="007C158F"/>
    <w:rsid w:val="007C46E2"/>
    <w:rsid w:val="007C5247"/>
    <w:rsid w:val="007F1518"/>
    <w:rsid w:val="007F5330"/>
    <w:rsid w:val="00802542"/>
    <w:rsid w:val="0080336B"/>
    <w:rsid w:val="00837571"/>
    <w:rsid w:val="00855FD8"/>
    <w:rsid w:val="0087213E"/>
    <w:rsid w:val="0087408B"/>
    <w:rsid w:val="008C0B8C"/>
    <w:rsid w:val="008C0E5E"/>
    <w:rsid w:val="008C144E"/>
    <w:rsid w:val="008C3130"/>
    <w:rsid w:val="008D0E15"/>
    <w:rsid w:val="008D1BFB"/>
    <w:rsid w:val="008D3168"/>
    <w:rsid w:val="008E583F"/>
    <w:rsid w:val="008E7DF4"/>
    <w:rsid w:val="008F33A8"/>
    <w:rsid w:val="009056D1"/>
    <w:rsid w:val="0091309E"/>
    <w:rsid w:val="0092693F"/>
    <w:rsid w:val="00931642"/>
    <w:rsid w:val="0093424C"/>
    <w:rsid w:val="0093781E"/>
    <w:rsid w:val="009721BE"/>
    <w:rsid w:val="00976473"/>
    <w:rsid w:val="0097710D"/>
    <w:rsid w:val="009845B1"/>
    <w:rsid w:val="009978CD"/>
    <w:rsid w:val="009A51C2"/>
    <w:rsid w:val="009A59EE"/>
    <w:rsid w:val="009B40CF"/>
    <w:rsid w:val="009B5B49"/>
    <w:rsid w:val="009C0B82"/>
    <w:rsid w:val="009C0C6B"/>
    <w:rsid w:val="009C2CB3"/>
    <w:rsid w:val="009D4DE7"/>
    <w:rsid w:val="009D55B2"/>
    <w:rsid w:val="009E0479"/>
    <w:rsid w:val="009F0991"/>
    <w:rsid w:val="009F6B38"/>
    <w:rsid w:val="00A017CB"/>
    <w:rsid w:val="00A21D8D"/>
    <w:rsid w:val="00A227BE"/>
    <w:rsid w:val="00A2387C"/>
    <w:rsid w:val="00A26CD8"/>
    <w:rsid w:val="00A368FA"/>
    <w:rsid w:val="00A43887"/>
    <w:rsid w:val="00A527C1"/>
    <w:rsid w:val="00A91C0C"/>
    <w:rsid w:val="00A93D33"/>
    <w:rsid w:val="00AD445E"/>
    <w:rsid w:val="00AE03EE"/>
    <w:rsid w:val="00AE4507"/>
    <w:rsid w:val="00AE6A99"/>
    <w:rsid w:val="00AF5677"/>
    <w:rsid w:val="00B00D9B"/>
    <w:rsid w:val="00B23CD2"/>
    <w:rsid w:val="00B50797"/>
    <w:rsid w:val="00B66763"/>
    <w:rsid w:val="00B67742"/>
    <w:rsid w:val="00B96F76"/>
    <w:rsid w:val="00BB24CA"/>
    <w:rsid w:val="00BB43D3"/>
    <w:rsid w:val="00BB4FE2"/>
    <w:rsid w:val="00BD7B83"/>
    <w:rsid w:val="00BF04BF"/>
    <w:rsid w:val="00C16190"/>
    <w:rsid w:val="00C3066D"/>
    <w:rsid w:val="00C60F0A"/>
    <w:rsid w:val="00C61B5A"/>
    <w:rsid w:val="00C64BF8"/>
    <w:rsid w:val="00C66ED1"/>
    <w:rsid w:val="00C80629"/>
    <w:rsid w:val="00C874A9"/>
    <w:rsid w:val="00CA65D7"/>
    <w:rsid w:val="00CC7AA4"/>
    <w:rsid w:val="00CD3E62"/>
    <w:rsid w:val="00CD58A3"/>
    <w:rsid w:val="00D011BB"/>
    <w:rsid w:val="00D362A0"/>
    <w:rsid w:val="00D368CD"/>
    <w:rsid w:val="00D45C26"/>
    <w:rsid w:val="00D51675"/>
    <w:rsid w:val="00D56989"/>
    <w:rsid w:val="00D57B76"/>
    <w:rsid w:val="00D801ED"/>
    <w:rsid w:val="00D9784A"/>
    <w:rsid w:val="00DA70F0"/>
    <w:rsid w:val="00DC2443"/>
    <w:rsid w:val="00DC67C0"/>
    <w:rsid w:val="00E06BFE"/>
    <w:rsid w:val="00E47684"/>
    <w:rsid w:val="00E65279"/>
    <w:rsid w:val="00E65F33"/>
    <w:rsid w:val="00E73316"/>
    <w:rsid w:val="00E82478"/>
    <w:rsid w:val="00EB0251"/>
    <w:rsid w:val="00EB1DB7"/>
    <w:rsid w:val="00ED5857"/>
    <w:rsid w:val="00ED5A07"/>
    <w:rsid w:val="00ED689D"/>
    <w:rsid w:val="00EF0488"/>
    <w:rsid w:val="00EF2ADE"/>
    <w:rsid w:val="00F01ACB"/>
    <w:rsid w:val="00F12190"/>
    <w:rsid w:val="00F26C13"/>
    <w:rsid w:val="00F275C7"/>
    <w:rsid w:val="00F302DE"/>
    <w:rsid w:val="00F4350E"/>
    <w:rsid w:val="00F45152"/>
    <w:rsid w:val="00F4609B"/>
    <w:rsid w:val="00F5558B"/>
    <w:rsid w:val="00F6199D"/>
    <w:rsid w:val="00F66F22"/>
    <w:rsid w:val="00F67FB5"/>
    <w:rsid w:val="00F8028C"/>
    <w:rsid w:val="00F8072F"/>
    <w:rsid w:val="00F90233"/>
    <w:rsid w:val="00F9527E"/>
    <w:rsid w:val="00FA6A18"/>
    <w:rsid w:val="00FC2324"/>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nps.gov/sitk/index.htm%20"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nps.gov/grba/learn/management/organic-act-of-1916.htm%2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mtalab.adfg.alaska.gov/OTO/marking.aspx" TargetMode="External"/><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1169</TotalTime>
  <Pages>29</Pages>
  <Words>7875</Words>
  <Characters>45208</Characters>
  <Application>Microsoft Office Word</Application>
  <DocSecurity>0</DocSecurity>
  <Lines>717</Lines>
  <Paragraphs>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51</cp:revision>
  <dcterms:created xsi:type="dcterms:W3CDTF">2026-03-06T13:33:00Z</dcterms:created>
  <dcterms:modified xsi:type="dcterms:W3CDTF">2026-04-01T17:54:00Z</dcterms:modified>
</cp:coreProperties>
</file>