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37D11FF8" w:rsidR="002D7DC2"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p w14:paraId="6CC432F6" w14:textId="77777777" w:rsidR="002D7DC2" w:rsidRDefault="002D7DC2">
      <w:r>
        <w:br w:type="page"/>
      </w:r>
    </w:p>
    <w:p w14:paraId="059B5213" w14:textId="4BD150AD" w:rsidR="002D7DC2" w:rsidRDefault="002D7DC2" w:rsidP="002D7DC2">
      <w:pPr>
        <w:spacing w:after="0" w:line="480" w:lineRule="auto"/>
      </w:pPr>
      <w:r>
        <w:lastRenderedPageBreak/>
        <w:t xml:space="preserve">Parametric bootstrapping of DD effects of interest reveal interesting patterns of behavior. Critically, no significant effect of treatment group, treatment period, or the interaction of the two is observed in either model (Figure 5). </w:t>
      </w:r>
      <w:r>
        <w:t xml:space="preserve">In both models, bootstrap parameter estimates of the effect of treatment group (i.e. Indian River) tend to be positive, although not frequently enough to say with high confidence that the relative effect of Indian River on pink salmon abundances is different than zero. </w:t>
      </w:r>
      <w:r>
        <w:t xml:space="preserve"> </w:t>
      </w:r>
      <w:r>
        <w:t xml:space="preserve">The effect of the post-treatment period is centered close to zero in all runs across both models. Parameter estimates of the effect of hatchery operations on abundances at Indian River tend to be negative. </w:t>
      </w:r>
      <w:r>
        <w:t xml:space="preserve">This surprising result </w:t>
      </w:r>
      <w:r>
        <w:t xml:space="preserve">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166EE843" w14:textId="77777777" w:rsidR="00095DCA" w:rsidRDefault="00095DCA" w:rsidP="002D7DC2">
      <w:pPr>
        <w:spacing w:after="0" w:line="480" w:lineRule="auto"/>
      </w:pPr>
    </w:p>
    <w:p w14:paraId="64274950" w14:textId="77777777" w:rsidR="00095DCA" w:rsidRDefault="00095DCA">
      <w:r>
        <w:br w:type="page"/>
      </w:r>
    </w:p>
    <w:p w14:paraId="523479DF" w14:textId="77777777" w:rsidR="00095DCA" w:rsidRPr="008C144E" w:rsidRDefault="00095DCA" w:rsidP="00095DCA">
      <w:pPr>
        <w:spacing w:after="0" w:line="480" w:lineRule="auto"/>
        <w:rPr>
          <w:b/>
          <w:bCs/>
          <w:u w:val="single"/>
        </w:rPr>
      </w:pPr>
      <w:commentRangeStart w:id="10"/>
      <w:r w:rsidRPr="008C144E">
        <w:rPr>
          <w:b/>
          <w:bCs/>
          <w:u w:val="single"/>
        </w:rPr>
        <w:lastRenderedPageBreak/>
        <w:t>Discussion</w:t>
      </w:r>
      <w:commentRangeEnd w:id="10"/>
      <w:r w:rsidRPr="008C144E">
        <w:rPr>
          <w:rStyle w:val="CommentReference"/>
          <w:b/>
          <w:bCs/>
          <w:sz w:val="24"/>
          <w:szCs w:val="24"/>
          <w:u w:val="single"/>
        </w:rPr>
        <w:commentReference w:id="10"/>
      </w:r>
    </w:p>
    <w:p w14:paraId="462612CC" w14:textId="77777777" w:rsidR="00095DCA" w:rsidRDefault="00095DCA" w:rsidP="00095DCA">
      <w:pPr>
        <w:spacing w:after="0" w:line="480" w:lineRule="auto"/>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w:t>
      </w:r>
    </w:p>
    <w:p w14:paraId="090CFCB2" w14:textId="77777777" w:rsidR="00095DCA" w:rsidRDefault="00095DCA" w:rsidP="00095DCA">
      <w:pPr>
        <w:spacing w:after="0" w:line="480" w:lineRule="auto"/>
      </w:pPr>
    </w:p>
    <w:p w14:paraId="049081C1" w14:textId="77777777" w:rsidR="00095DCA" w:rsidRDefault="00095DCA" w:rsidP="00095DCA">
      <w:pPr>
        <w:spacing w:after="0" w:line="480" w:lineRule="auto"/>
      </w:pPr>
      <w:commentRangeStart w:id="11"/>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11"/>
      <w:r>
        <w:rPr>
          <w:rStyle w:val="CommentReference"/>
          <w:sz w:val="24"/>
          <w:szCs w:val="24"/>
        </w:rPr>
        <w:commentReference w:id="11"/>
      </w:r>
      <w:commentRangeStart w:id="12"/>
      <w:r>
        <w:t xml:space="preserve">The state of pink salmon abundances in northern southeast Alaska is changing, as evidenced by Figures 2 &amp; 3. </w:t>
      </w:r>
      <w:commentRangeEnd w:id="12"/>
      <w:r>
        <w:rPr>
          <w:rStyle w:val="CommentReference"/>
          <w:sz w:val="24"/>
          <w:szCs w:val="24"/>
        </w:rPr>
        <w:commentReference w:id="12"/>
      </w:r>
      <w:commentRangeStart w:id="13"/>
      <w:r>
        <w:t xml:space="preserve">Understanding whether pink salmon at Indian River exist within a natural range of variation requires parsing this context. </w:t>
      </w:r>
      <w:commentRangeEnd w:id="13"/>
      <w:r>
        <w:rPr>
          <w:rStyle w:val="CommentReference"/>
          <w:sz w:val="24"/>
          <w:szCs w:val="24"/>
        </w:rPr>
        <w:commentReference w:id="13"/>
      </w:r>
    </w:p>
    <w:p w14:paraId="2D23A0C9" w14:textId="77777777" w:rsidR="00095DCA" w:rsidRDefault="00095DCA" w:rsidP="00095DCA">
      <w:pPr>
        <w:spacing w:after="0" w:line="480" w:lineRule="auto"/>
      </w:pPr>
    </w:p>
    <w:p w14:paraId="42344ADC" w14:textId="36CE8DD3" w:rsidR="00095DCA" w:rsidRDefault="00095DCA" w:rsidP="00095DCA">
      <w:pPr>
        <w:spacing w:after="0" w:line="480" w:lineRule="auto"/>
      </w:pPr>
      <w:r>
        <w:t>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This finding was also consistent with time series modeling of Indian River abundances and hatchery returns. Although I found a significant effect of hatchery releases on Indian River adult numbers, it also appears that Indian River fish are returning to the hatchery at significant rates.</w:t>
      </w:r>
    </w:p>
    <w:p w14:paraId="6B28B482" w14:textId="278CC5F2" w:rsidR="00095DCA" w:rsidRDefault="00095DCA" w:rsidP="00095DCA">
      <w:pPr>
        <w:spacing w:after="0" w:line="480" w:lineRule="auto"/>
      </w:pPr>
      <w:r>
        <w:lastRenderedPageBreak/>
        <w:tab/>
        <w:t>It is worth considering the implications of these findings and how they might inform the duties of park officials with respect to conservation. In even years, Indian River salmon are not out of the ordinary relative to the wider region. While the expansion of hatchery releases in 2010 coincided with an increase in the numbers of spawning pink salmon at Indian River, the effect of hatchery returns in the previous brood year on even-year pink salmon abundances are much lower than the effect of fish moving in the other direction. Taken together, it seems likely that even-year runs at Indian River are well within the natural range of variation for the wider region. However, the analysis of odd-year runs tells a different story. The effects of both the commencement and expansion of hatchery operations (1980 and 2010) coincided with increases in the numbers of pink salmon at Indian River, above and beyond what was happening elsewhere in the region during those periods. Finally, although the effect of hatchery returns in the previous brood year on even-year pink salmon abundances are lower than the effect of fish moving in the other direction, the difference in these effects is not as large, indicating more fish from the hatchery are returning to Indian River in a given year than vice versa.</w:t>
      </w:r>
    </w:p>
    <w:p w14:paraId="13A1D039" w14:textId="5E929713" w:rsidR="00095DCA" w:rsidRDefault="00095DCA" w:rsidP="00095DCA">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This is not to say that the hatchery is the main driver of high pink salmon densities in odd years (as Figure 3 shows, spawning abundances </w:t>
      </w:r>
      <w:r>
        <w:lastRenderedPageBreak/>
        <w:t>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p>
    <w:p w14:paraId="41BDCAE3" w14:textId="77777777" w:rsidR="00095DCA" w:rsidRDefault="00095DCA" w:rsidP="00095DCA">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p>
    <w:p w14:paraId="1E060046" w14:textId="77777777" w:rsidR="00447811" w:rsidRDefault="00447811" w:rsidP="00447811">
      <w:pPr>
        <w:spacing w:after="0" w:line="480" w:lineRule="auto"/>
        <w:ind w:firstLine="720"/>
      </w:pP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 w:id="10" w:author="Mark Scheuerell" w:date="2026-03-07T10:13:00Z" w:initials="s">
    <w:p w14:paraId="291D3870" w14:textId="77777777" w:rsidR="00095DCA" w:rsidRDefault="00095DCA">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11" w:author="Mark Scheuerell" w:date="2026-03-07T09:50:00Z" w:initials="s">
    <w:p w14:paraId="610AEF96" w14:textId="77777777" w:rsidR="00095DCA" w:rsidRDefault="00095DCA">
      <w:pPr>
        <w:pStyle w:val="CommentText"/>
      </w:pPr>
      <w:r>
        <w:rPr>
          <w:rStyle w:val="CommentReference"/>
        </w:rPr>
        <w:annotationRef/>
      </w:r>
      <w:r>
        <w:t>I’d move this lower down</w:t>
      </w:r>
    </w:p>
  </w:comment>
  <w:comment w:id="12" w:author="Mark Scheuerell" w:date="2026-03-07T09:50:00Z" w:initials="s">
    <w:p w14:paraId="7B963198" w14:textId="77777777" w:rsidR="00095DCA" w:rsidRDefault="00095DCA">
      <w:pPr>
        <w:pStyle w:val="CommentText"/>
      </w:pPr>
      <w:r>
        <w:rPr>
          <w:rStyle w:val="CommentReference"/>
        </w:rPr>
        <w:annotationRef/>
      </w:r>
      <w:r>
        <w:rPr>
          <w:rStyle w:val="CommentReference"/>
        </w:rPr>
        <w:t>V</w:t>
      </w:r>
      <w:r>
        <w:t>ague statements like this don’t lend much (ie, changing how?)</w:t>
      </w:r>
    </w:p>
  </w:comment>
  <w:comment w:id="13" w:author="Mark Scheuerell" w:date="2026-03-07T09:51:00Z" w:initials="s">
    <w:p w14:paraId="4BF987D5" w14:textId="77777777" w:rsidR="00095DCA" w:rsidRDefault="00095DCA">
      <w:pPr>
        <w:pStyle w:val="CommentText"/>
      </w:pPr>
      <w:r>
        <w:rPr>
          <w:rStyle w:val="CommentReference"/>
        </w:rPr>
        <w:annotationRef/>
      </w:r>
      <w:r>
        <w:t>This seems like justification for the approach, which belongs in the intro and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Ex w15:paraId="291D3870" w15:done="0"/>
  <w15:commentEx w15:paraId="610AEF96" w15:done="0"/>
  <w15:commentEx w15:paraId="7B963198" w15:done="0"/>
  <w15:commentEx w15:paraId="4BF987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Id w16cid:paraId="291D3870" w16cid:durableId="4E6740D1"/>
  <w16cid:commentId w16cid:paraId="610AEF96" w16cid:durableId="168175C5"/>
  <w16cid:commentId w16cid:paraId="7B963198" w16cid:durableId="36111843"/>
  <w16cid:commentId w16cid:paraId="4BF987D5" w16cid:durableId="4D1AC83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5DCA"/>
    <w:rsid w:val="00096995"/>
    <w:rsid w:val="001D249A"/>
    <w:rsid w:val="002A1D18"/>
    <w:rsid w:val="002D7DC2"/>
    <w:rsid w:val="002F1F1F"/>
    <w:rsid w:val="00396E9D"/>
    <w:rsid w:val="003B22DF"/>
    <w:rsid w:val="00447811"/>
    <w:rsid w:val="00494012"/>
    <w:rsid w:val="004A17BC"/>
    <w:rsid w:val="004F151D"/>
    <w:rsid w:val="005012A6"/>
    <w:rsid w:val="00564645"/>
    <w:rsid w:val="00655324"/>
    <w:rsid w:val="00657247"/>
    <w:rsid w:val="006B1EA6"/>
    <w:rsid w:val="006C7056"/>
    <w:rsid w:val="006E0493"/>
    <w:rsid w:val="008823CF"/>
    <w:rsid w:val="00897510"/>
    <w:rsid w:val="0093424C"/>
    <w:rsid w:val="009C4221"/>
    <w:rsid w:val="00A5673D"/>
    <w:rsid w:val="00AC31F5"/>
    <w:rsid w:val="00AD2CBF"/>
    <w:rsid w:val="00B9450F"/>
    <w:rsid w:val="00BF3F86"/>
    <w:rsid w:val="00BF7A7A"/>
    <w:rsid w:val="00C4640D"/>
    <w:rsid w:val="00C66ED1"/>
    <w:rsid w:val="00CD7149"/>
    <w:rsid w:val="00E77D5F"/>
    <w:rsid w:val="00E81D20"/>
    <w:rsid w:val="00EA450C"/>
    <w:rsid w:val="00EC7A1A"/>
    <w:rsid w:val="00ED2389"/>
    <w:rsid w:val="00EF660E"/>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645</TotalTime>
  <Pages>18</Pages>
  <Words>3509</Words>
  <Characters>20146</Characters>
  <Application>Microsoft Office Word</Application>
  <DocSecurity>0</DocSecurity>
  <Lines>319</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11</cp:revision>
  <dcterms:created xsi:type="dcterms:W3CDTF">2026-03-25T18:50:00Z</dcterms:created>
  <dcterms:modified xsi:type="dcterms:W3CDTF">2026-04-01T18:03:00Z</dcterms:modified>
</cp:coreProperties>
</file>