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A6A07" w14:textId="77777777" w:rsidR="00670218" w:rsidRDefault="00670218" w:rsidP="00670218">
      <w:pPr>
        <w:pStyle w:val="ListParagraph"/>
        <w:numPr>
          <w:ilvl w:val="1"/>
          <w:numId w:val="1"/>
        </w:numPr>
        <w:rPr>
          <w:b/>
          <w:bCs/>
        </w:rPr>
      </w:pPr>
      <w:bookmarkStart w:id="0" w:name="_Hlk201667573"/>
      <w:r w:rsidRPr="006C6A70">
        <w:rPr>
          <w:b/>
          <w:bCs/>
        </w:rPr>
        <w:t>Introduction</w:t>
      </w:r>
      <w:r>
        <w:rPr>
          <w:b/>
          <w:bCs/>
        </w:rPr>
        <w:t xml:space="preserve"> </w:t>
      </w:r>
    </w:p>
    <w:p w14:paraId="729BD840" w14:textId="77777777" w:rsidR="0093781E" w:rsidRDefault="0093781E" w:rsidP="00670218">
      <w:pPr>
        <w:pStyle w:val="ListParagraph"/>
        <w:spacing w:after="0" w:line="240" w:lineRule="auto"/>
        <w:ind w:left="360"/>
      </w:pPr>
    </w:p>
    <w:p w14:paraId="439291BE" w14:textId="22C1746A" w:rsidR="00670218" w:rsidRDefault="00670218" w:rsidP="00670218">
      <w:pPr>
        <w:pStyle w:val="ListParagraph"/>
        <w:spacing w:after="0" w:line="240" w:lineRule="auto"/>
        <w:ind w:left="360"/>
      </w:pPr>
      <w:r>
        <w:t xml:space="preserve">Since its inception, the National Park Service (NPS) has operated under a mandate to preserve the resources under their stewardship such that they represent ‘vignettes of primitive America’.  For natural resources, particularly those that vary in space and time, the management target has always been to maintain </w:t>
      </w:r>
      <w:proofErr w:type="gramStart"/>
      <w:r>
        <w:t>abundances</w:t>
      </w:r>
      <w:proofErr w:type="gramEnd"/>
      <w:r>
        <w:t xml:space="preserve"> within a ‘natural range of </w:t>
      </w:r>
      <w:proofErr w:type="gramStart"/>
      <w:r>
        <w:t>variation’.</w:t>
      </w:r>
      <w:proofErr w:type="gramEnd"/>
      <w:r>
        <w:t xml:space="preserve"> Pursuant to this, park managers are often confronted with either the scarcity of native plant or animal species or an abundance of non-native (exotic, invasive) species that may damage park ecosystems </w:t>
      </w:r>
      <w:r>
        <w:rPr>
          <w:rFonts w:cstheme="minorHAnsi"/>
          <w:color w:val="202122"/>
          <w:shd w:val="clear" w:color="auto" w:fill="FFFFFF"/>
        </w:rPr>
        <w:t>(National Park Service 2025a)</w:t>
      </w:r>
      <w:r>
        <w:t>. However, harm to ecosystems can also be driven by a hyperabundance of a native species, due either to shifting regional trends in habitat suitability, to direct (and often anthropogenic) intervention, or to a combination of these factors (</w:t>
      </w:r>
      <w:proofErr w:type="spellStart"/>
      <w:r>
        <w:t>Sambaraju</w:t>
      </w:r>
      <w:proofErr w:type="spellEnd"/>
      <w:r>
        <w:t xml:space="preserve"> and </w:t>
      </w:r>
      <w:proofErr w:type="spellStart"/>
      <w:r>
        <w:t>Goodsman</w:t>
      </w:r>
      <w:proofErr w:type="spellEnd"/>
      <w:r>
        <w:t xml:space="preserve"> 2021, Beckett et al. 2022, Moore et al. 2023).  While there is little debate that these occurrences generate a need for management action, the question of when a hyperabundance of some endemic species exceeds the natural range of variation, thereby triggering a need for management action, can be difficult to ascertain. Park managers across the NPS are confronted with these issues as they seek to interpret and implement the mandate to preserve resources in a natural condition. </w:t>
      </w:r>
    </w:p>
    <w:p w14:paraId="68EE01F5" w14:textId="77777777" w:rsidR="00670218" w:rsidRDefault="00670218" w:rsidP="00670218">
      <w:pPr>
        <w:pStyle w:val="ListParagraph"/>
        <w:spacing w:after="0" w:line="240" w:lineRule="auto"/>
        <w:ind w:left="360"/>
      </w:pPr>
    </w:p>
    <w:p w14:paraId="0DCE0F57" w14:textId="77777777" w:rsidR="00670218" w:rsidRDefault="00670218" w:rsidP="00670218">
      <w:pPr>
        <w:pStyle w:val="ListParagraph"/>
        <w:spacing w:after="0" w:line="240" w:lineRule="auto"/>
        <w:ind w:left="360"/>
      </w:pPr>
      <w:r>
        <w:t xml:space="preserve">With these ideas in mind, my research focuses on Sitka National Historical Park (SITK) in Sitka, Alaska, a small 112-acre coastal park located in the state’s southern panhandle. SITK was designated a National Monument in 1910 and park in 1972, primarily </w:t>
      </w:r>
      <w:r w:rsidRPr="000D7F29">
        <w:rPr>
          <w:rFonts w:cstheme="minorHAnsi"/>
          <w:color w:val="202122"/>
          <w:shd w:val="clear" w:color="auto" w:fill="FFFFFF"/>
        </w:rPr>
        <w:t>to</w:t>
      </w:r>
      <w:r>
        <w:t xml:space="preserve"> conserve the site of an 1804 battle </w:t>
      </w:r>
      <w:r w:rsidRPr="000D7F29">
        <w:rPr>
          <w:rFonts w:cstheme="minorHAnsi"/>
          <w:color w:val="202122"/>
          <w:shd w:val="clear" w:color="auto" w:fill="FFFFFF"/>
        </w:rPr>
        <w:t xml:space="preserve">between </w:t>
      </w:r>
      <w:r>
        <w:rPr>
          <w:rFonts w:cstheme="minorHAnsi"/>
          <w:color w:val="202122"/>
          <w:shd w:val="clear" w:color="auto" w:fill="FFFFFF"/>
        </w:rPr>
        <w:t xml:space="preserve">the </w:t>
      </w:r>
      <w:r w:rsidRPr="000D7F29">
        <w:rPr>
          <w:rFonts w:cstheme="minorHAnsi"/>
          <w:color w:val="202122"/>
          <w:shd w:val="clear" w:color="auto" w:fill="FFFFFF"/>
        </w:rPr>
        <w:t xml:space="preserve">native Tlingit </w:t>
      </w:r>
      <w:proofErr w:type="spellStart"/>
      <w:r w:rsidRPr="000D7F29">
        <w:rPr>
          <w:rFonts w:cstheme="minorHAnsi"/>
          <w:color w:val="202122"/>
          <w:shd w:val="clear" w:color="auto" w:fill="FFFFFF"/>
        </w:rPr>
        <w:t>Kiks.ádi</w:t>
      </w:r>
      <w:proofErr w:type="spellEnd"/>
      <w:r w:rsidRPr="000D7F29">
        <w:rPr>
          <w:rFonts w:cstheme="minorHAnsi"/>
          <w:color w:val="202122"/>
          <w:shd w:val="clear" w:color="auto" w:fill="FFFFFF"/>
        </w:rPr>
        <w:t xml:space="preserve"> clan and Russian colonizers</w:t>
      </w:r>
      <w:r>
        <w:rPr>
          <w:rFonts w:cstheme="minorHAnsi"/>
          <w:color w:val="202122"/>
          <w:shd w:val="clear" w:color="auto" w:fill="FFFFFF"/>
        </w:rPr>
        <w:t xml:space="preserve"> </w:t>
      </w:r>
      <w:r>
        <w:t>(National Park Service 2025b)</w:t>
      </w:r>
      <w:r w:rsidRPr="000D7F29">
        <w:rPr>
          <w:rFonts w:cstheme="minorHAnsi"/>
          <w:color w:val="202122"/>
          <w:shd w:val="clear" w:color="auto" w:fill="FFFFFF"/>
        </w:rPr>
        <w:t>.  The park</w:t>
      </w:r>
      <w:r>
        <w:rPr>
          <w:rFonts w:cstheme="minorHAnsi"/>
          <w:color w:val="202122"/>
          <w:shd w:val="clear" w:color="auto" w:fill="FFFFFF"/>
        </w:rPr>
        <w:t xml:space="preserve">, which </w:t>
      </w:r>
      <w:r>
        <w:t>features a series of totem poles along designated trails and active traditional totem carving activities</w:t>
      </w:r>
      <w:r>
        <w:rPr>
          <w:rFonts w:cstheme="minorHAnsi"/>
          <w:color w:val="202122"/>
          <w:shd w:val="clear" w:color="auto" w:fill="FFFFFF"/>
        </w:rPr>
        <w:t>,</w:t>
      </w:r>
      <w:r w:rsidRPr="000D7F29">
        <w:rPr>
          <w:rFonts w:cstheme="minorHAnsi"/>
          <w:color w:val="202122"/>
          <w:shd w:val="clear" w:color="auto" w:fill="FFFFFF"/>
        </w:rPr>
        <w:t xml:space="preserve"> is visited by tens of thousands of tourists each year </w:t>
      </w:r>
      <w:r>
        <w:t>who learn about the history of Sitka and Tlingit culture. While its foundational purpose is the preservation of a historical event, today the park is managed to</w:t>
      </w:r>
      <w:r w:rsidRPr="000D7F29">
        <w:rPr>
          <w:rFonts w:cstheme="minorHAnsi"/>
          <w:color w:val="202122"/>
          <w:shd w:val="clear" w:color="auto" w:fill="FFFFFF"/>
        </w:rPr>
        <w:t xml:space="preserve"> preserve the </w:t>
      </w:r>
      <w:r>
        <w:rPr>
          <w:rFonts w:cstheme="minorHAnsi"/>
          <w:color w:val="202122"/>
          <w:shd w:val="clear" w:color="auto" w:fill="FFFFFF"/>
        </w:rPr>
        <w:t xml:space="preserve">natural resources present in the </w:t>
      </w:r>
      <w:r w:rsidRPr="000D7F29">
        <w:rPr>
          <w:rFonts w:cstheme="minorHAnsi"/>
          <w:color w:val="202122"/>
          <w:shd w:val="clear" w:color="auto" w:fill="FFFFFF"/>
        </w:rPr>
        <w:t>surrounding area,</w:t>
      </w:r>
      <w:r>
        <w:t xml:space="preserve"> ecosystems which include mature spruce-hemlock forests and the Indian River, the main reach and intertidal area of which fall within park boundaries</w:t>
      </w:r>
    </w:p>
    <w:p w14:paraId="352F2F55" w14:textId="77777777" w:rsidR="00670218" w:rsidRDefault="00670218" w:rsidP="00670218">
      <w:pPr>
        <w:pStyle w:val="ListParagraph"/>
        <w:spacing w:after="0" w:line="240" w:lineRule="auto"/>
        <w:ind w:left="360"/>
        <w:rPr>
          <w:rFonts w:cstheme="minorHAnsi"/>
          <w:color w:val="202122"/>
          <w:shd w:val="clear" w:color="auto" w:fill="FFFFFF"/>
        </w:rPr>
      </w:pPr>
    </w:p>
    <w:p w14:paraId="6E37A897" w14:textId="77777777" w:rsidR="00670218" w:rsidRDefault="00670218" w:rsidP="00670218">
      <w:pPr>
        <w:pStyle w:val="ListParagraph"/>
        <w:spacing w:after="0" w:line="240" w:lineRule="auto"/>
        <w:ind w:left="360"/>
      </w:pPr>
      <w:r w:rsidRPr="000D7F29">
        <w:rPr>
          <w:rFonts w:cstheme="minorHAnsi"/>
          <w:color w:val="202122"/>
          <w:shd w:val="clear" w:color="auto" w:fill="FFFFFF"/>
        </w:rPr>
        <w:t xml:space="preserve">Since time immemorial </w:t>
      </w:r>
      <w:proofErr w:type="spellStart"/>
      <w:r w:rsidRPr="000D7F29">
        <w:rPr>
          <w:rFonts w:cstheme="minorHAnsi"/>
          <w:color w:val="202122"/>
          <w:u w:val="single"/>
          <w:shd w:val="clear" w:color="auto" w:fill="FFFFFF"/>
        </w:rPr>
        <w:t>K</w:t>
      </w:r>
      <w:r w:rsidRPr="000D7F29">
        <w:rPr>
          <w:rFonts w:cstheme="minorHAnsi"/>
          <w:color w:val="202122"/>
          <w:shd w:val="clear" w:color="auto" w:fill="FFFFFF"/>
        </w:rPr>
        <w:t>aasda</w:t>
      </w:r>
      <w:proofErr w:type="spellEnd"/>
      <w:r w:rsidRPr="000D7F29">
        <w:rPr>
          <w:rFonts w:cstheme="minorHAnsi"/>
          <w:color w:val="202122"/>
          <w:shd w:val="clear" w:color="auto" w:fill="FFFFFF"/>
        </w:rPr>
        <w:t xml:space="preserve"> </w:t>
      </w:r>
      <w:proofErr w:type="spellStart"/>
      <w:r w:rsidRPr="000D7F29">
        <w:rPr>
          <w:rFonts w:cstheme="minorHAnsi"/>
          <w:color w:val="202122"/>
          <w:shd w:val="clear" w:color="auto" w:fill="FFFFFF"/>
        </w:rPr>
        <w:t>Héen</w:t>
      </w:r>
      <w:proofErr w:type="spellEnd"/>
      <w:r w:rsidRPr="000D7F29">
        <w:rPr>
          <w:rFonts w:cstheme="minorHAnsi"/>
          <w:color w:val="202122"/>
          <w:shd w:val="clear" w:color="auto" w:fill="FFFFFF"/>
        </w:rPr>
        <w:t xml:space="preserve"> (the Indian River) has been the location of a fishing camp and harvesting site for the </w:t>
      </w:r>
      <w:proofErr w:type="spellStart"/>
      <w:r w:rsidRPr="000D7F29">
        <w:rPr>
          <w:rFonts w:cstheme="minorHAnsi"/>
          <w:color w:val="202122"/>
          <w:shd w:val="clear" w:color="auto" w:fill="FFFFFF"/>
        </w:rPr>
        <w:t>Kiks.ádi</w:t>
      </w:r>
      <w:proofErr w:type="spellEnd"/>
      <w:r w:rsidRPr="000D7F29">
        <w:rPr>
          <w:rFonts w:cstheme="minorHAnsi"/>
          <w:color w:val="202122"/>
          <w:shd w:val="clear" w:color="auto" w:fill="FFFFFF"/>
        </w:rPr>
        <w:t xml:space="preserve"> clan</w:t>
      </w:r>
      <w:r>
        <w:rPr>
          <w:rFonts w:cstheme="minorHAnsi"/>
          <w:color w:val="202122"/>
          <w:shd w:val="clear" w:color="auto" w:fill="FFFFFF"/>
        </w:rPr>
        <w:t>, and</w:t>
      </w:r>
      <w:r w:rsidRPr="000D7F29">
        <w:rPr>
          <w:rFonts w:cstheme="minorHAnsi"/>
          <w:color w:val="202122"/>
          <w:shd w:val="clear" w:color="auto" w:fill="FFFFFF"/>
        </w:rPr>
        <w:t xml:space="preserve"> particularly valued for its close proximity to the clan’s winter villages, as well as for hosting runs of </w:t>
      </w:r>
      <w:r>
        <w:rPr>
          <w:rFonts w:cstheme="minorHAnsi"/>
          <w:color w:val="202122"/>
          <w:shd w:val="clear" w:color="auto" w:fill="FFFFFF"/>
        </w:rPr>
        <w:t xml:space="preserve">a variety of </w:t>
      </w:r>
      <w:r w:rsidRPr="000D7F29">
        <w:rPr>
          <w:rFonts w:cstheme="minorHAnsi"/>
          <w:color w:val="202122"/>
          <w:shd w:val="clear" w:color="auto" w:fill="FFFFFF"/>
        </w:rPr>
        <w:t>Pacific salmon species</w:t>
      </w:r>
      <w:r>
        <w:rPr>
          <w:rFonts w:cstheme="minorHAnsi"/>
          <w:color w:val="202122"/>
          <w:shd w:val="clear" w:color="auto" w:fill="FFFFFF"/>
        </w:rPr>
        <w:t>, including</w:t>
      </w:r>
      <w:r w:rsidRPr="000D7F29">
        <w:rPr>
          <w:rFonts w:cstheme="minorHAnsi"/>
          <w:color w:val="202122"/>
          <w:shd w:val="clear" w:color="auto" w:fill="FFFFFF"/>
        </w:rPr>
        <w:t xml:space="preserve"> chum (</w:t>
      </w:r>
      <w:r w:rsidRPr="000D7F29">
        <w:rPr>
          <w:i/>
          <w:iCs/>
        </w:rPr>
        <w:t xml:space="preserve">Oncorhynchus keta, </w:t>
      </w:r>
      <w:proofErr w:type="spellStart"/>
      <w:r>
        <w:rPr>
          <w:i/>
          <w:iCs/>
        </w:rPr>
        <w:t>T</w:t>
      </w:r>
      <w:r w:rsidRPr="00EB397D">
        <w:t>éel</w:t>
      </w:r>
      <w:proofErr w:type="spellEnd"/>
      <w:r w:rsidRPr="000D7F29">
        <w:rPr>
          <w:rFonts w:cstheme="minorHAnsi"/>
          <w:color w:val="202122"/>
          <w:shd w:val="clear" w:color="auto" w:fill="FFFFFF"/>
        </w:rPr>
        <w:t>), coho (</w:t>
      </w:r>
      <w:r w:rsidRPr="000D7F29">
        <w:rPr>
          <w:rFonts w:cstheme="minorHAnsi"/>
          <w:i/>
          <w:iCs/>
          <w:color w:val="202122"/>
          <w:shd w:val="clear" w:color="auto" w:fill="FFFFFF"/>
        </w:rPr>
        <w:t>O. kisutch</w:t>
      </w:r>
      <w:r w:rsidRPr="000D7F29">
        <w:rPr>
          <w:rFonts w:cstheme="minorHAnsi"/>
          <w:color w:val="202122"/>
          <w:shd w:val="clear" w:color="auto" w:fill="FFFFFF"/>
        </w:rPr>
        <w:t xml:space="preserve">, </w:t>
      </w:r>
      <w:proofErr w:type="spellStart"/>
      <w:r>
        <w:rPr>
          <w:rFonts w:cstheme="minorHAnsi"/>
          <w:color w:val="202122"/>
          <w:shd w:val="clear" w:color="auto" w:fill="FFFFFF"/>
        </w:rPr>
        <w:t>L</w:t>
      </w:r>
      <w:r w:rsidRPr="000D7F29">
        <w:rPr>
          <w:rFonts w:cstheme="minorHAnsi"/>
          <w:color w:val="202122"/>
          <w:shd w:val="clear" w:color="auto" w:fill="FFFFFF"/>
        </w:rPr>
        <w:t>’ook</w:t>
      </w:r>
      <w:proofErr w:type="spellEnd"/>
      <w:r w:rsidRPr="000D7F29">
        <w:rPr>
          <w:rFonts w:cstheme="minorHAnsi"/>
          <w:color w:val="202122"/>
          <w:shd w:val="clear" w:color="auto" w:fill="FFFFFF"/>
        </w:rPr>
        <w:t>), Chinook (</w:t>
      </w:r>
      <w:r w:rsidRPr="000D7F29">
        <w:rPr>
          <w:rFonts w:cstheme="minorHAnsi"/>
          <w:i/>
          <w:iCs/>
          <w:color w:val="202122"/>
          <w:shd w:val="clear" w:color="auto" w:fill="FFFFFF"/>
        </w:rPr>
        <w:t>O. tshawytscha</w:t>
      </w:r>
      <w:r w:rsidRPr="000D7F29">
        <w:rPr>
          <w:rFonts w:cstheme="minorHAnsi"/>
          <w:color w:val="202122"/>
          <w:shd w:val="clear" w:color="auto" w:fill="FFFFFF"/>
        </w:rPr>
        <w:t xml:space="preserve">, </w:t>
      </w:r>
      <w:proofErr w:type="spellStart"/>
      <w:r>
        <w:rPr>
          <w:rFonts w:cstheme="minorHAnsi"/>
          <w:color w:val="202122"/>
          <w:shd w:val="clear" w:color="auto" w:fill="FFFFFF"/>
        </w:rPr>
        <w:t>T</w:t>
      </w:r>
      <w:r w:rsidRPr="000D7F29">
        <w:rPr>
          <w:rFonts w:cstheme="minorHAnsi"/>
          <w:color w:val="202122"/>
          <w:shd w:val="clear" w:color="auto" w:fill="FFFFFF"/>
        </w:rPr>
        <w:t>’a</w:t>
      </w:r>
      <w:proofErr w:type="spellEnd"/>
      <w:r w:rsidRPr="000D7F29">
        <w:rPr>
          <w:rFonts w:cstheme="minorHAnsi"/>
          <w:color w:val="202122"/>
          <w:shd w:val="clear" w:color="auto" w:fill="FFFFFF"/>
        </w:rPr>
        <w:t>́)</w:t>
      </w:r>
      <w:r>
        <w:rPr>
          <w:rFonts w:cstheme="minorHAnsi"/>
          <w:color w:val="202122"/>
          <w:shd w:val="clear" w:color="auto" w:fill="FFFFFF"/>
        </w:rPr>
        <w:t xml:space="preserve">, and </w:t>
      </w:r>
      <w:r w:rsidRPr="000D7F29">
        <w:rPr>
          <w:rFonts w:cstheme="minorHAnsi"/>
          <w:color w:val="202122"/>
          <w:shd w:val="clear" w:color="auto" w:fill="FFFFFF"/>
        </w:rPr>
        <w:t>pink salmon (</w:t>
      </w:r>
      <w:r w:rsidRPr="000D7F29">
        <w:rPr>
          <w:rFonts w:cstheme="minorHAnsi"/>
          <w:i/>
          <w:iCs/>
          <w:color w:val="202122"/>
          <w:shd w:val="clear" w:color="auto" w:fill="FFFFFF"/>
        </w:rPr>
        <w:t xml:space="preserve">O. </w:t>
      </w:r>
      <w:proofErr w:type="spellStart"/>
      <w:r w:rsidRPr="000D7F29">
        <w:rPr>
          <w:rFonts w:cstheme="minorHAnsi"/>
          <w:i/>
          <w:iCs/>
          <w:color w:val="202122"/>
          <w:shd w:val="clear" w:color="auto" w:fill="FFFFFF"/>
        </w:rPr>
        <w:t>gorbuscha</w:t>
      </w:r>
      <w:proofErr w:type="spellEnd"/>
      <w:r w:rsidRPr="000D7F29">
        <w:rPr>
          <w:rFonts w:cstheme="minorHAnsi"/>
          <w:color w:val="202122"/>
          <w:shd w:val="clear" w:color="auto" w:fill="FFFFFF"/>
        </w:rPr>
        <w:t xml:space="preserve">, </w:t>
      </w:r>
      <w:proofErr w:type="spellStart"/>
      <w:r>
        <w:rPr>
          <w:rFonts w:cstheme="minorHAnsi"/>
          <w:color w:val="202122"/>
          <w:shd w:val="clear" w:color="auto" w:fill="FFFFFF"/>
        </w:rPr>
        <w:t>C</w:t>
      </w:r>
      <w:r w:rsidRPr="000D7F29">
        <w:rPr>
          <w:rFonts w:cstheme="minorHAnsi"/>
          <w:color w:val="202122"/>
          <w:shd w:val="clear" w:color="auto" w:fill="FFFFFF"/>
        </w:rPr>
        <w:t>háas</w:t>
      </w:r>
      <w:proofErr w:type="spellEnd"/>
      <w:r w:rsidRPr="000D7F29">
        <w:rPr>
          <w:rFonts w:cstheme="minorHAnsi"/>
          <w:color w:val="202122"/>
          <w:shd w:val="clear" w:color="auto" w:fill="FFFFFF"/>
        </w:rPr>
        <w:t xml:space="preserve">’) (Thornton 1998). </w:t>
      </w:r>
      <w:r>
        <w:rPr>
          <w:rFonts w:cstheme="minorHAnsi"/>
          <w:color w:val="202122"/>
          <w:shd w:val="clear" w:color="auto" w:fill="FFFFFF"/>
        </w:rPr>
        <w:t>Pink salmon are the</w:t>
      </w:r>
      <w:r w:rsidRPr="000D7F29">
        <w:rPr>
          <w:rFonts w:cstheme="minorHAnsi"/>
          <w:color w:val="202122"/>
          <w:shd w:val="clear" w:color="auto" w:fill="FFFFFF"/>
        </w:rPr>
        <w:t xml:space="preserve"> most abundant species </w:t>
      </w:r>
      <w:r>
        <w:rPr>
          <w:rFonts w:cstheme="minorHAnsi"/>
          <w:color w:val="202122"/>
          <w:shd w:val="clear" w:color="auto" w:fill="FFFFFF"/>
        </w:rPr>
        <w:t xml:space="preserve">at Indian </w:t>
      </w:r>
      <w:proofErr w:type="gramStart"/>
      <w:r>
        <w:rPr>
          <w:rFonts w:cstheme="minorHAnsi"/>
          <w:color w:val="202122"/>
          <w:shd w:val="clear" w:color="auto" w:fill="FFFFFF"/>
        </w:rPr>
        <w:t>River, and</w:t>
      </w:r>
      <w:proofErr w:type="gramEnd"/>
      <w:r w:rsidRPr="000D7F29">
        <w:rPr>
          <w:rFonts w:cstheme="minorHAnsi"/>
          <w:color w:val="202122"/>
          <w:shd w:val="clear" w:color="auto" w:fill="FFFFFF"/>
        </w:rPr>
        <w:t xml:space="preserve"> typically return to spawn in August.  </w:t>
      </w:r>
      <w:r>
        <w:rPr>
          <w:rFonts w:cstheme="minorHAnsi"/>
          <w:color w:val="202122"/>
          <w:shd w:val="clear" w:color="auto" w:fill="FFFFFF"/>
        </w:rPr>
        <w:t>E</w:t>
      </w:r>
      <w:r w:rsidRPr="000D7F29">
        <w:rPr>
          <w:rFonts w:cstheme="minorHAnsi"/>
          <w:color w:val="202122"/>
          <w:shd w:val="clear" w:color="auto" w:fill="FFFFFF"/>
        </w:rPr>
        <w:t xml:space="preserve">ggs hatch </w:t>
      </w:r>
      <w:r>
        <w:rPr>
          <w:rFonts w:cstheme="minorHAnsi"/>
          <w:color w:val="202122"/>
          <w:shd w:val="clear" w:color="auto" w:fill="FFFFFF"/>
        </w:rPr>
        <w:t xml:space="preserve">in the winter and in </w:t>
      </w:r>
      <w:r w:rsidRPr="000D7F29">
        <w:rPr>
          <w:rFonts w:cstheme="minorHAnsi"/>
          <w:color w:val="202122"/>
          <w:shd w:val="clear" w:color="auto" w:fill="FFFFFF"/>
        </w:rPr>
        <w:t xml:space="preserve">the </w:t>
      </w:r>
      <w:proofErr w:type="gramStart"/>
      <w:r w:rsidRPr="000D7F29">
        <w:rPr>
          <w:rFonts w:cstheme="minorHAnsi"/>
          <w:color w:val="202122"/>
          <w:shd w:val="clear" w:color="auto" w:fill="FFFFFF"/>
        </w:rPr>
        <w:t>spring</w:t>
      </w:r>
      <w:proofErr w:type="gramEnd"/>
      <w:r w:rsidRPr="000D7F29">
        <w:rPr>
          <w:rFonts w:cstheme="minorHAnsi"/>
          <w:color w:val="202122"/>
          <w:shd w:val="clear" w:color="auto" w:fill="FFFFFF"/>
        </w:rPr>
        <w:t xml:space="preserve"> </w:t>
      </w:r>
      <w:r>
        <w:t xml:space="preserve">juveniles immediately </w:t>
      </w:r>
      <w:r w:rsidRPr="00CD14B8">
        <w:t xml:space="preserve">enter the ocean, </w:t>
      </w:r>
      <w:r>
        <w:t>with all members of a brood</w:t>
      </w:r>
      <w:r w:rsidRPr="00CD14B8">
        <w:t xml:space="preserve"> return</w:t>
      </w:r>
      <w:r>
        <w:t>ing</w:t>
      </w:r>
      <w:r w:rsidRPr="00CD14B8">
        <w:t xml:space="preserve"> to spawn</w:t>
      </w:r>
      <w:r>
        <w:t xml:space="preserve"> the following fall, at two years of age</w:t>
      </w:r>
      <w:r w:rsidRPr="00CD14B8">
        <w:t xml:space="preserve">. This leads to two genetically distinct runs </w:t>
      </w:r>
      <w:r>
        <w:t xml:space="preserve">of salmon inhabiting the same stream </w:t>
      </w:r>
      <w:r w:rsidRPr="00CD14B8">
        <w:t>in even numbered and odd numbered years</w:t>
      </w:r>
      <w:r>
        <w:t>. U</w:t>
      </w:r>
      <w:r w:rsidRPr="00CD14B8">
        <w:t xml:space="preserve">nlike </w:t>
      </w:r>
      <w:r>
        <w:t xml:space="preserve">in </w:t>
      </w:r>
      <w:r w:rsidRPr="00CD14B8">
        <w:t>regions</w:t>
      </w:r>
      <w:r>
        <w:t xml:space="preserve"> further north or south</w:t>
      </w:r>
      <w:r w:rsidRPr="00CD14B8">
        <w:t>, the rivers of northern southeast Alaska see even</w:t>
      </w:r>
      <w:r>
        <w:t>-</w:t>
      </w:r>
      <w:r w:rsidRPr="00CD14B8">
        <w:t xml:space="preserve"> and odd</w:t>
      </w:r>
      <w:r>
        <w:t>-</w:t>
      </w:r>
      <w:r w:rsidRPr="00CD14B8">
        <w:t xml:space="preserve">year pink salmon </w:t>
      </w:r>
      <w:r>
        <w:t>r</w:t>
      </w:r>
      <w:r w:rsidRPr="00CD14B8">
        <w:t>uns that are approximately equal in abundance</w:t>
      </w:r>
      <w:r>
        <w:t xml:space="preserve"> (Alaska Department of Fish and Game 2024a)</w:t>
      </w:r>
      <w:r w:rsidRPr="00CD14B8">
        <w:t>.</w:t>
      </w:r>
    </w:p>
    <w:p w14:paraId="684BAB74" w14:textId="77777777" w:rsidR="00670218" w:rsidRDefault="00670218" w:rsidP="00670218">
      <w:pPr>
        <w:pStyle w:val="ListParagraph"/>
        <w:spacing w:after="0" w:line="240" w:lineRule="auto"/>
        <w:ind w:left="360"/>
      </w:pPr>
    </w:p>
    <w:p w14:paraId="39FD720F" w14:textId="77777777" w:rsidR="00670218" w:rsidRDefault="00670218" w:rsidP="00670218">
      <w:pPr>
        <w:pStyle w:val="ListParagraph"/>
        <w:spacing w:after="0" w:line="240" w:lineRule="auto"/>
        <w:ind w:left="360"/>
      </w:pPr>
      <w:r w:rsidRPr="00CD14B8">
        <w:lastRenderedPageBreak/>
        <w:t xml:space="preserve">Although pink salmon have always been abundant </w:t>
      </w:r>
      <w:r>
        <w:t>at Indian River</w:t>
      </w:r>
      <w:r w:rsidRPr="00CD14B8">
        <w:t>, their numbers have increased rapidly in the last</w:t>
      </w:r>
      <w:r>
        <w:t xml:space="preserve"> 30</w:t>
      </w:r>
      <w:r w:rsidRPr="00CD14B8">
        <w:t xml:space="preserve"> years</w:t>
      </w:r>
      <w:r>
        <w:t>.  The Alaska Department of Fish and Game (ADFG) peak escapement surveys have estimated that, since 1980, pink salmon abundance has increased from several thousand to regularly exceeding 100,000 fish annually (</w:t>
      </w:r>
      <w:proofErr w:type="spellStart"/>
      <w:r>
        <w:t>Stopha</w:t>
      </w:r>
      <w:proofErr w:type="spellEnd"/>
      <w:r>
        <w:t xml:space="preserve"> 2015). </w:t>
      </w:r>
    </w:p>
    <w:p w14:paraId="4B0D7906" w14:textId="77777777" w:rsidR="00670218" w:rsidRDefault="00670218" w:rsidP="00670218">
      <w:pPr>
        <w:pStyle w:val="ListParagraph"/>
        <w:spacing w:after="0" w:line="240" w:lineRule="auto"/>
        <w:ind w:left="360"/>
      </w:pPr>
    </w:p>
    <w:p w14:paraId="5EE8B145" w14:textId="77777777" w:rsidR="00670218" w:rsidRDefault="00670218" w:rsidP="00670218">
      <w:pPr>
        <w:pStyle w:val="ListParagraph"/>
        <w:spacing w:after="0" w:line="240" w:lineRule="auto"/>
        <w:ind w:left="360"/>
      </w:pPr>
    </w:p>
    <w:p w14:paraId="1FE598F5" w14:textId="77777777" w:rsidR="00670218" w:rsidRDefault="00670218" w:rsidP="00670218">
      <w:pPr>
        <w:pStyle w:val="ListParagraph"/>
        <w:spacing w:after="0" w:line="240" w:lineRule="auto"/>
        <w:ind w:left="360"/>
      </w:pPr>
      <w:r>
        <w:rPr>
          <w:noProof/>
        </w:rPr>
        <w:drawing>
          <wp:inline distT="0" distB="0" distL="0" distR="0" wp14:anchorId="522EB495" wp14:editId="64D2A260">
            <wp:extent cx="5523174" cy="3825272"/>
            <wp:effectExtent l="0" t="0" r="1905" b="3810"/>
            <wp:docPr id="3" name="Picture 2">
              <a:extLst xmlns:a="http://schemas.openxmlformats.org/drawingml/2006/main">
                <a:ext uri="{FF2B5EF4-FFF2-40B4-BE49-F238E27FC236}">
                  <a16:creationId xmlns:a16="http://schemas.microsoft.com/office/drawing/2014/main" id="{16E89738-7DF8-FB9F-97C3-FC303713BCC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16E89738-7DF8-FB9F-97C3-FC303713BCC1}"/>
                        </a:ext>
                      </a:extLst>
                    </pic:cNvPr>
                    <pic:cNvPicPr>
                      <a:picLocks noChangeAspect="1"/>
                    </pic:cNvPicPr>
                  </pic:nvPicPr>
                  <pic:blipFill>
                    <a:blip r:embed="rId5"/>
                    <a:stretch>
                      <a:fillRect/>
                    </a:stretch>
                  </pic:blipFill>
                  <pic:spPr>
                    <a:xfrm>
                      <a:off x="0" y="0"/>
                      <a:ext cx="5557041" cy="3848727"/>
                    </a:xfrm>
                    <a:prstGeom prst="rect">
                      <a:avLst/>
                    </a:prstGeom>
                  </pic:spPr>
                </pic:pic>
              </a:graphicData>
            </a:graphic>
          </wp:inline>
        </w:drawing>
      </w:r>
    </w:p>
    <w:p w14:paraId="4629B044" w14:textId="77777777" w:rsidR="00670218" w:rsidRPr="007E0A7D" w:rsidRDefault="00670218" w:rsidP="00670218">
      <w:pPr>
        <w:pStyle w:val="ListParagraph"/>
        <w:spacing w:after="0" w:line="240" w:lineRule="auto"/>
        <w:ind w:left="360"/>
        <w:rPr>
          <w:i/>
          <w:iCs/>
          <w:sz w:val="20"/>
          <w:szCs w:val="20"/>
        </w:rPr>
      </w:pPr>
      <w:r w:rsidRPr="007E0A7D">
        <w:rPr>
          <w:i/>
          <w:iCs/>
          <w:sz w:val="20"/>
          <w:szCs w:val="20"/>
        </w:rPr>
        <w:t xml:space="preserve">Figure </w:t>
      </w:r>
      <w:r>
        <w:rPr>
          <w:i/>
          <w:iCs/>
          <w:sz w:val="20"/>
          <w:szCs w:val="20"/>
        </w:rPr>
        <w:t>1.</w:t>
      </w:r>
      <w:r w:rsidRPr="007E0A7D">
        <w:rPr>
          <w:i/>
          <w:iCs/>
          <w:sz w:val="20"/>
          <w:szCs w:val="20"/>
        </w:rPr>
        <w:t xml:space="preserve">1: </w:t>
      </w:r>
      <w:r>
        <w:rPr>
          <w:i/>
          <w:iCs/>
          <w:sz w:val="20"/>
          <w:szCs w:val="20"/>
        </w:rPr>
        <w:t>Even year p</w:t>
      </w:r>
      <w:r w:rsidRPr="007E0A7D">
        <w:rPr>
          <w:i/>
          <w:iCs/>
          <w:sz w:val="20"/>
          <w:szCs w:val="20"/>
        </w:rPr>
        <w:t xml:space="preserve">eak pink salmon escapement </w:t>
      </w:r>
      <w:r>
        <w:rPr>
          <w:i/>
          <w:iCs/>
          <w:sz w:val="20"/>
          <w:szCs w:val="20"/>
        </w:rPr>
        <w:t>from 1960 to 2022</w:t>
      </w:r>
      <w:r w:rsidRPr="007E0A7D">
        <w:rPr>
          <w:i/>
          <w:iCs/>
          <w:sz w:val="20"/>
          <w:szCs w:val="20"/>
        </w:rPr>
        <w:t xml:space="preserve"> in 35 </w:t>
      </w:r>
      <w:r>
        <w:rPr>
          <w:i/>
          <w:iCs/>
          <w:sz w:val="20"/>
          <w:szCs w:val="20"/>
        </w:rPr>
        <w:t xml:space="preserve">index </w:t>
      </w:r>
      <w:r w:rsidRPr="007E0A7D">
        <w:rPr>
          <w:i/>
          <w:iCs/>
          <w:sz w:val="20"/>
          <w:szCs w:val="20"/>
        </w:rPr>
        <w:t xml:space="preserve">streams across ADFG’s designated Northern Southeast (Outside) region. Spawner counts are </w:t>
      </w:r>
      <w:r>
        <w:rPr>
          <w:i/>
          <w:iCs/>
          <w:sz w:val="20"/>
          <w:szCs w:val="20"/>
        </w:rPr>
        <w:t xml:space="preserve">scaled </w:t>
      </w:r>
      <w:r w:rsidRPr="007E0A7D">
        <w:rPr>
          <w:i/>
          <w:iCs/>
          <w:sz w:val="20"/>
          <w:szCs w:val="20"/>
        </w:rPr>
        <w:t>against stream length</w:t>
      </w:r>
      <w:r>
        <w:rPr>
          <w:i/>
          <w:iCs/>
          <w:sz w:val="20"/>
          <w:szCs w:val="20"/>
        </w:rPr>
        <w:t xml:space="preserve"> (km), then log transformed and standardized at the level of each stream</w:t>
      </w:r>
      <w:r w:rsidRPr="007E0A7D">
        <w:rPr>
          <w:i/>
          <w:iCs/>
          <w:sz w:val="20"/>
          <w:szCs w:val="20"/>
        </w:rPr>
        <w:t>.</w:t>
      </w:r>
    </w:p>
    <w:p w14:paraId="485C028F" w14:textId="77777777" w:rsidR="00670218" w:rsidRDefault="00670218" w:rsidP="00670218">
      <w:pPr>
        <w:pStyle w:val="ListParagraph"/>
        <w:spacing w:after="0" w:line="240" w:lineRule="auto"/>
        <w:ind w:left="360"/>
      </w:pPr>
    </w:p>
    <w:p w14:paraId="0CDB0A55" w14:textId="77777777" w:rsidR="00670218" w:rsidRDefault="00670218" w:rsidP="00670218">
      <w:pPr>
        <w:pStyle w:val="ListParagraph"/>
        <w:spacing w:after="0" w:line="240" w:lineRule="auto"/>
        <w:ind w:left="360"/>
      </w:pPr>
      <w:r>
        <w:t xml:space="preserve">High abundances of salmon are concerning to park managers because, particularly when occurring at the same time as low in-stream flows, the high fish densities can impact the Indian River’s ability to sustain other resident fish species by crashing in-stream dissolved oxygen concentrations (Sergeant et al. 2023). However, high salmon densities are a naturally occurring phenomenon across the Pacific Rim, and incidences of high densities leading to low egg to fry survival and reduced recruitment or contributing to depleted in stream oxygen levels have been recorded (Sergeant et al. 2017, Tillotson and Quinn 2017). </w:t>
      </w:r>
    </w:p>
    <w:p w14:paraId="4A282550" w14:textId="77777777" w:rsidR="00670218" w:rsidRDefault="00670218" w:rsidP="00670218">
      <w:pPr>
        <w:pStyle w:val="ListParagraph"/>
        <w:spacing w:after="0" w:line="240" w:lineRule="auto"/>
        <w:ind w:left="360"/>
      </w:pPr>
    </w:p>
    <w:p w14:paraId="012C3E04" w14:textId="77777777" w:rsidR="00670218" w:rsidRDefault="00670218" w:rsidP="00670218">
      <w:pPr>
        <w:pStyle w:val="ListParagraph"/>
        <w:spacing w:after="0" w:line="240" w:lineRule="auto"/>
        <w:ind w:left="360"/>
      </w:pPr>
      <w:r>
        <w:t>The initial increases in Indian River pink salmon abundance observed in the 1980s coincided with the commencement of operations at Sheldon Jackson Hatchery (SJH), a pink salmon hatchery located approximately 1 km</w:t>
      </w:r>
      <w:r w:rsidRPr="00CD14B8">
        <w:t xml:space="preserve"> from the mouth of </w:t>
      </w:r>
      <w:r w:rsidRPr="00CF3314">
        <w:t>the Indian River</w:t>
      </w:r>
      <w:r>
        <w:t xml:space="preserve">. The hatchery is currently operated by </w:t>
      </w:r>
      <w:r w:rsidRPr="00CD14B8">
        <w:t>the not-for-profit Sitka Sound Science Center</w:t>
      </w:r>
      <w:r>
        <w:t xml:space="preserve"> but was originally established in 1975 by Sheldon Jackson College (</w:t>
      </w:r>
      <w:proofErr w:type="spellStart"/>
      <w:r>
        <w:t>Stopha</w:t>
      </w:r>
      <w:proofErr w:type="spellEnd"/>
      <w:r>
        <w:t xml:space="preserve"> 2015). The college, founded in 1888 as a hybrid Indian re-education facility and utopian planned community, was at its inception </w:t>
      </w:r>
      <w:r>
        <w:lastRenderedPageBreak/>
        <w:t xml:space="preserve">granted water rights from the Indian River (Thornton 1998). Today, water is taken from a diversion upriver of the park’s boundary to maintain the hatchery operations. </w:t>
      </w:r>
      <w:r w:rsidRPr="00CD14B8">
        <w:t>This water is used to rear salmon fry, which imprint on its distinct chemical signature</w:t>
      </w:r>
      <w:r>
        <w:t xml:space="preserve">, </w:t>
      </w:r>
      <w:proofErr w:type="gramStart"/>
      <w:r>
        <w:t>and also</w:t>
      </w:r>
      <w:proofErr w:type="gramEnd"/>
      <w:r>
        <w:t xml:space="preserve"> used d</w:t>
      </w:r>
      <w:r w:rsidRPr="00CD14B8">
        <w:t xml:space="preserve">uring spawning season, </w:t>
      </w:r>
      <w:r>
        <w:t xml:space="preserve">when </w:t>
      </w:r>
      <w:r w:rsidRPr="00CD14B8">
        <w:t xml:space="preserve">more of this diverted </w:t>
      </w:r>
      <w:r>
        <w:t>Indian River w</w:t>
      </w:r>
      <w:r w:rsidRPr="00CD14B8">
        <w:t xml:space="preserve">ater is </w:t>
      </w:r>
      <w:r>
        <w:t>releas</w:t>
      </w:r>
      <w:r w:rsidRPr="00CD14B8">
        <w:t xml:space="preserve">ed into the bay near the hatchery to attract returning </w:t>
      </w:r>
      <w:r>
        <w:t xml:space="preserve">fish. In late summer returning hatchery fish tend to aggregate in large schools just offshore, where commercial fisherman partnered with the hatchery purse seine the fish and sell the catch </w:t>
      </w:r>
      <w:r w:rsidRPr="00CD14B8">
        <w:t>for the purposes of cost recovery.</w:t>
      </w:r>
      <w:r>
        <w:t xml:space="preserve"> In recent years the hatchery has been permitted to propagate 3 million eggs, most of which survive and are released as fry to the ocean each year. While these eggs are extracted from hatchery broodstock, the original stock of eggs was taken primarily from pink salmon from the Indian River (even years) and </w:t>
      </w:r>
      <w:r w:rsidRPr="00CD14B8">
        <w:t>nearby Starrigavan Creek</w:t>
      </w:r>
      <w:r>
        <w:t xml:space="preserve"> (odd years) (</w:t>
      </w:r>
      <w:proofErr w:type="spellStart"/>
      <w:r>
        <w:t>Stopha</w:t>
      </w:r>
      <w:proofErr w:type="spellEnd"/>
      <w:r>
        <w:t xml:space="preserve"> 2105).</w:t>
      </w:r>
    </w:p>
    <w:p w14:paraId="1953CBAA" w14:textId="77777777" w:rsidR="00670218" w:rsidRDefault="00670218" w:rsidP="00670218">
      <w:pPr>
        <w:pStyle w:val="ListParagraph"/>
        <w:spacing w:after="0" w:line="240" w:lineRule="auto"/>
        <w:ind w:left="360"/>
      </w:pPr>
    </w:p>
    <w:p w14:paraId="3EB8F2AE" w14:textId="77777777" w:rsidR="00670218" w:rsidRDefault="00670218" w:rsidP="00670218">
      <w:pPr>
        <w:pStyle w:val="ListParagraph"/>
        <w:spacing w:after="0" w:line="240" w:lineRule="auto"/>
        <w:ind w:left="360"/>
      </w:pPr>
      <w:r>
        <w:rPr>
          <w:noProof/>
        </w:rPr>
        <w:drawing>
          <wp:inline distT="0" distB="0" distL="0" distR="0" wp14:anchorId="7FAC2C71" wp14:editId="0B31D6A7">
            <wp:extent cx="5743575" cy="4321421"/>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55470" cy="4330371"/>
                    </a:xfrm>
                    <a:prstGeom prst="rect">
                      <a:avLst/>
                    </a:prstGeom>
                  </pic:spPr>
                </pic:pic>
              </a:graphicData>
            </a:graphic>
          </wp:inline>
        </w:drawing>
      </w:r>
    </w:p>
    <w:p w14:paraId="5842CBD9" w14:textId="77777777" w:rsidR="00670218" w:rsidRDefault="00670218" w:rsidP="00670218">
      <w:pPr>
        <w:pStyle w:val="ListParagraph"/>
        <w:spacing w:after="0" w:line="240" w:lineRule="auto"/>
        <w:ind w:left="360"/>
      </w:pPr>
    </w:p>
    <w:p w14:paraId="159322B2" w14:textId="77777777" w:rsidR="00670218" w:rsidRPr="007E0A7D" w:rsidRDefault="00670218" w:rsidP="00670218">
      <w:pPr>
        <w:pStyle w:val="ListParagraph"/>
        <w:spacing w:after="0" w:line="240" w:lineRule="auto"/>
        <w:ind w:left="360"/>
        <w:rPr>
          <w:i/>
          <w:iCs/>
          <w:sz w:val="20"/>
          <w:szCs w:val="20"/>
        </w:rPr>
      </w:pPr>
      <w:r w:rsidRPr="007E0A7D">
        <w:rPr>
          <w:i/>
          <w:iCs/>
          <w:sz w:val="20"/>
          <w:szCs w:val="20"/>
        </w:rPr>
        <w:t xml:space="preserve">Figure </w:t>
      </w:r>
      <w:r>
        <w:rPr>
          <w:i/>
          <w:iCs/>
          <w:sz w:val="20"/>
          <w:szCs w:val="20"/>
        </w:rPr>
        <w:t>1.2</w:t>
      </w:r>
      <w:r w:rsidRPr="007E0A7D">
        <w:rPr>
          <w:i/>
          <w:iCs/>
          <w:sz w:val="20"/>
          <w:szCs w:val="20"/>
        </w:rPr>
        <w:t xml:space="preserve">: </w:t>
      </w:r>
      <w:r>
        <w:rPr>
          <w:i/>
          <w:iCs/>
          <w:sz w:val="20"/>
          <w:szCs w:val="20"/>
        </w:rPr>
        <w:t>Location of Sheldon Jackson Hatchery (red star) and the mouth of the Indian River (red circle) in Sitka. The two highlighted points are approximately 1,650 ft (503m) apart.</w:t>
      </w:r>
    </w:p>
    <w:p w14:paraId="48A6B87E" w14:textId="77777777" w:rsidR="00670218" w:rsidRDefault="00670218" w:rsidP="00670218">
      <w:pPr>
        <w:pStyle w:val="ListParagraph"/>
        <w:spacing w:after="0" w:line="240" w:lineRule="auto"/>
        <w:ind w:left="360"/>
      </w:pPr>
    </w:p>
    <w:p w14:paraId="3F008B98" w14:textId="77777777" w:rsidR="00670218" w:rsidRDefault="00670218" w:rsidP="00670218">
      <w:pPr>
        <w:pStyle w:val="ListParagraph"/>
        <w:spacing w:after="0" w:line="240" w:lineRule="auto"/>
        <w:ind w:left="360"/>
      </w:pPr>
      <w:r>
        <w:t xml:space="preserve">If all pink salmon that were reared in the hatchery returned to the hatchery, the population dynamics of salmon in the Indian River would be unaffected.  However, homing by salmon isn’t perfect, and in fact is likely an evolved trait that allows fish to colonize new habitats when they become suitable for spawning (Quinn 2018).  Straying, whereby a juvenile salmon that was produced in one stream (or hatchery) strays into a different stream as an </w:t>
      </w:r>
      <w:r>
        <w:lastRenderedPageBreak/>
        <w:t>adult to spawn, is likely a common phenomenon for hatchery fish, but whether hatcheries increase the proportion of fish that stray is less clear (Knudsen et al. 2021). Evidence suggests that the Indian River is no exception, and indeed it is possible that the Indian River sees higher than average levels of straying due to the proximity of SJH and the hatchery fish being reared in Indian River water. Hatchery-origin fish at Indian River can be distinguished from natural-origin fish because all pink salmon released by the hatchery are subject to a process called otolith marking, in which small carbonate bodies located in the inner ‘ears’ of fishes are marked with a distinct pattern. This pattern is produced during incubation, when salmon eggs are exposed to a carefully controlled regime of dry periods and periods submerged in water, leaving a pattern on the otoliths of each fish reflecting a specific hatchery of origin (</w:t>
      </w:r>
      <w:proofErr w:type="spellStart"/>
      <w:r>
        <w:t>Stopha</w:t>
      </w:r>
      <w:proofErr w:type="spellEnd"/>
      <w:r>
        <w:t xml:space="preserve"> 2015, Alaska Department of Fish and Game 2024b).  When salmon return to spawn as adults, biologists can collect these otoliths and determine whether the adult fish sampled in the Indian River are of hatchery or wild origin. Surveying efforts at Indian River have at times found stray pink salmon from Sheldon Jackson Hatchery making up one third of all individuals sampled </w:t>
      </w:r>
      <w:proofErr w:type="gramStart"/>
      <w:r>
        <w:t>in a given year</w:t>
      </w:r>
      <w:proofErr w:type="gramEnd"/>
      <w:r>
        <w:t xml:space="preserve">. However, rates observed vary considerably, perhaps due to the time of year pink salmon are sampled, with some surveys observing rates of straying closer to 10% (Gende and Carter 2015). </w:t>
      </w:r>
    </w:p>
    <w:p w14:paraId="12F82D8C" w14:textId="77777777" w:rsidR="00670218" w:rsidRDefault="00670218" w:rsidP="00670218">
      <w:pPr>
        <w:pStyle w:val="ListParagraph"/>
        <w:spacing w:after="0" w:line="240" w:lineRule="auto"/>
        <w:ind w:left="360"/>
      </w:pPr>
    </w:p>
    <w:p w14:paraId="55F819D7" w14:textId="77777777" w:rsidR="00670218" w:rsidRDefault="00670218" w:rsidP="00670218">
      <w:pPr>
        <w:pStyle w:val="ListParagraph"/>
        <w:spacing w:after="0" w:line="240" w:lineRule="auto"/>
        <w:ind w:left="360"/>
        <w:rPr>
          <w:b/>
          <w:bCs/>
        </w:rPr>
      </w:pPr>
      <w:r>
        <w:rPr>
          <w:b/>
          <w:bCs/>
        </w:rPr>
        <w:t>Objectives</w:t>
      </w:r>
    </w:p>
    <w:p w14:paraId="2A043FF9" w14:textId="77777777" w:rsidR="00670218" w:rsidRDefault="00670218" w:rsidP="00670218">
      <w:pPr>
        <w:pStyle w:val="ListParagraph"/>
        <w:spacing w:after="0" w:line="240" w:lineRule="auto"/>
        <w:ind w:left="360"/>
      </w:pPr>
      <w:r>
        <w:t xml:space="preserve">My research seeks to assess whether the abundances of pink salmon observed in recent decades at Indian River exist within a natural range of variation relative to pink salmon streams elsewhere in the region. In addition, this research seeks to quantify the effect SJH operations have had on abundances of pink salmon at Indian River over time.  </w:t>
      </w:r>
    </w:p>
    <w:p w14:paraId="0016F865" w14:textId="77777777" w:rsidR="00670218" w:rsidRPr="000D7F29" w:rsidRDefault="00670218" w:rsidP="00670218">
      <w:pPr>
        <w:pStyle w:val="ListParagraph"/>
        <w:ind w:left="360"/>
        <w:rPr>
          <w:b/>
          <w:bCs/>
        </w:rPr>
      </w:pPr>
    </w:p>
    <w:p w14:paraId="0C43F25E" w14:textId="77777777" w:rsidR="00670218" w:rsidRDefault="00670218" w:rsidP="00670218">
      <w:pPr>
        <w:pStyle w:val="ListParagraph"/>
        <w:numPr>
          <w:ilvl w:val="1"/>
          <w:numId w:val="1"/>
        </w:numPr>
        <w:rPr>
          <w:b/>
          <w:bCs/>
        </w:rPr>
      </w:pPr>
      <w:r>
        <w:rPr>
          <w:b/>
          <w:bCs/>
        </w:rPr>
        <w:t>Methods</w:t>
      </w:r>
    </w:p>
    <w:p w14:paraId="25B5B20E" w14:textId="77777777" w:rsidR="00670218" w:rsidRDefault="00670218" w:rsidP="00670218">
      <w:pPr>
        <w:pStyle w:val="ListParagraph"/>
        <w:spacing w:after="0" w:line="240" w:lineRule="auto"/>
        <w:ind w:left="360"/>
      </w:pPr>
    </w:p>
    <w:p w14:paraId="467C832B" w14:textId="77777777" w:rsidR="00670218" w:rsidRPr="00DE1FAA" w:rsidRDefault="00670218" w:rsidP="00670218">
      <w:pPr>
        <w:pStyle w:val="ListParagraph"/>
        <w:spacing w:after="0" w:line="240" w:lineRule="auto"/>
        <w:ind w:left="360"/>
        <w:rPr>
          <w:b/>
          <w:bCs/>
        </w:rPr>
      </w:pPr>
      <w:r>
        <w:rPr>
          <w:b/>
          <w:bCs/>
        </w:rPr>
        <w:t>Data</w:t>
      </w:r>
    </w:p>
    <w:p w14:paraId="31C0E635" w14:textId="21BE5208" w:rsidR="00670218" w:rsidRDefault="00670218" w:rsidP="00670218">
      <w:pPr>
        <w:pStyle w:val="ListParagraph"/>
        <w:spacing w:after="0" w:line="240" w:lineRule="auto"/>
        <w:ind w:left="360"/>
      </w:pPr>
      <w:r>
        <w:t xml:space="preserve">Data supporting this research </w:t>
      </w:r>
      <w:proofErr w:type="gramStart"/>
      <w:r>
        <w:t>are</w:t>
      </w:r>
      <w:proofErr w:type="gramEnd"/>
      <w:r>
        <w:t xml:space="preserve"> chiefly sourced from ADFG and NPS. ADFG conducts annual aerial surveys of approximately 700 streams in southeast Alaska to monitor pink salmon escapement commercial fisheries management (Van Alen 2000). Survey data used in this study covers the period from 1960 to 2023. These streams, referred to by ADFG as index streams, are chosen because they are believed to reflect the natural condition of pink salmon populations in the region. Index streams are grouped into three sub-regions: southern southeast, northern southeast (inside), and northern southeast (outside). The last group is composed of 35 streams</w:t>
      </w:r>
      <w:r w:rsidRPr="0013608A">
        <w:t xml:space="preserve"> </w:t>
      </w:r>
      <w:r>
        <w:t xml:space="preserve">in the vicinity of Sitka and the Indian River along the ocean-facing coasts of Baranof and Chichagof islands and a few smaller islands in the area. Surveys are conducted via fixed-wing aircraft throughout the late summer pink salmon spawning season. A subset of these stream surveys </w:t>
      </w:r>
      <w:r w:rsidR="003C5745">
        <w:t>is</w:t>
      </w:r>
      <w:r>
        <w:t xml:space="preserve"> subject to validation by foot counts to assess the accuracy of ADFG’s aerial survey efforts (A. Dupuis, ADFG, personal communication, August 19, 2024). </w:t>
      </w:r>
    </w:p>
    <w:p w14:paraId="504C5412" w14:textId="77777777" w:rsidR="00670218" w:rsidRDefault="00670218" w:rsidP="00670218">
      <w:pPr>
        <w:pStyle w:val="ListParagraph"/>
        <w:ind w:left="360"/>
      </w:pPr>
    </w:p>
    <w:p w14:paraId="1B42280F" w14:textId="77777777" w:rsidR="00670218" w:rsidRDefault="00670218" w:rsidP="00670218">
      <w:pPr>
        <w:pStyle w:val="ListParagraph"/>
        <w:spacing w:line="240" w:lineRule="auto"/>
        <w:ind w:left="360"/>
      </w:pPr>
      <w:r>
        <w:t xml:space="preserve">Due to the proximity of SJH and the accompanying potential of hatchery fish to affect wild fish abundance estimates, the Indian River is not one of ADFG’s index streams. Nonetheless, </w:t>
      </w:r>
      <w:r>
        <w:lastRenderedPageBreak/>
        <w:t xml:space="preserve">ADFG has still intermittently monitored pink salmon escapement in the stream to provide the most complete data possible on pink salmon in the region. Data are available from Indian River from 1962-67, 1969, 1971-73, 1977-88, 1990, and from 1993-2024 (n = 45 annual observations). SJH also must provide ADFG with publicly available hatchery operation reports each year. These annual reports provide the number of pink salmon juveniles released, as well as estimates of the number of hatchery-raised </w:t>
      </w:r>
      <w:proofErr w:type="gramStart"/>
      <w:r>
        <w:t>adults salmon</w:t>
      </w:r>
      <w:proofErr w:type="gramEnd"/>
      <w:r>
        <w:t xml:space="preserve"> which survive the marine environment and return to the hatchery.</w:t>
      </w:r>
    </w:p>
    <w:p w14:paraId="5407820B" w14:textId="77777777" w:rsidR="00670218" w:rsidRDefault="00670218" w:rsidP="00670218">
      <w:pPr>
        <w:pStyle w:val="ListParagraph"/>
        <w:spacing w:line="240" w:lineRule="auto"/>
        <w:ind w:left="360"/>
      </w:pPr>
    </w:p>
    <w:p w14:paraId="3F14BB7C" w14:textId="77777777" w:rsidR="00670218" w:rsidRDefault="00670218" w:rsidP="00670218">
      <w:pPr>
        <w:pStyle w:val="ListParagraph"/>
        <w:spacing w:after="0" w:line="240" w:lineRule="auto"/>
        <w:ind w:left="360"/>
      </w:pPr>
      <w:r>
        <w:t>This work also leverages data on rates of straying to Indian River from SJH, as well as rates of wild-origin fish returning to SJH as opposed to their stream of origin (presumably Indian River although it is not possible to determine where wild-origin fish originated). These data are generated through three distinct processes: sampling of cost-recovery fish caught by purse-seiners, sampling of fish recovered at SJH as broodstock, and through sam</w:t>
      </w:r>
      <w:r w:rsidRPr="007641C7">
        <w:rPr>
          <w:rFonts w:cstheme="minorHAnsi"/>
        </w:rPr>
        <w:t xml:space="preserve">pling of deceased fish at Indian River by NPS biologists. Stray rate data </w:t>
      </w:r>
      <w:r>
        <w:rPr>
          <w:rFonts w:cstheme="minorHAnsi"/>
        </w:rPr>
        <w:t xml:space="preserve">consist of </w:t>
      </w:r>
      <w:r w:rsidRPr="007641C7">
        <w:rPr>
          <w:rFonts w:cstheme="minorHAnsi"/>
          <w:color w:val="222222"/>
          <w:shd w:val="clear" w:color="auto" w:fill="FFFFFF"/>
        </w:rPr>
        <w:t xml:space="preserve">41 observations of stray rates </w:t>
      </w:r>
      <w:r>
        <w:rPr>
          <w:rFonts w:cstheme="minorHAnsi"/>
          <w:color w:val="222222"/>
          <w:shd w:val="clear" w:color="auto" w:fill="FFFFFF"/>
        </w:rPr>
        <w:t>(</w:t>
      </w:r>
      <w:r w:rsidRPr="007641C7">
        <w:rPr>
          <w:rFonts w:cstheme="minorHAnsi"/>
          <w:color w:val="222222"/>
          <w:shd w:val="clear" w:color="auto" w:fill="FFFFFF"/>
        </w:rPr>
        <w:t xml:space="preserve">both in the park and at the hatchery) </w:t>
      </w:r>
      <w:r>
        <w:rPr>
          <w:rFonts w:cstheme="minorHAnsi"/>
          <w:color w:val="222222"/>
          <w:shd w:val="clear" w:color="auto" w:fill="FFFFFF"/>
        </w:rPr>
        <w:t>from 2</w:t>
      </w:r>
      <w:r w:rsidRPr="007641C7">
        <w:rPr>
          <w:rFonts w:cstheme="minorHAnsi"/>
          <w:color w:val="222222"/>
          <w:shd w:val="clear" w:color="auto" w:fill="FFFFFF"/>
        </w:rPr>
        <w:t>011 onward at</w:t>
      </w:r>
      <w:r>
        <w:rPr>
          <w:rFonts w:cstheme="minorHAnsi"/>
          <w:color w:val="222222"/>
          <w:shd w:val="clear" w:color="auto" w:fill="FFFFFF"/>
        </w:rPr>
        <w:t xml:space="preserve"> different</w:t>
      </w:r>
      <w:r w:rsidRPr="007641C7">
        <w:rPr>
          <w:rFonts w:cstheme="minorHAnsi"/>
          <w:color w:val="222222"/>
          <w:shd w:val="clear" w:color="auto" w:fill="FFFFFF"/>
        </w:rPr>
        <w:t xml:space="preserve"> times throughout the season.</w:t>
      </w:r>
    </w:p>
    <w:p w14:paraId="19695592" w14:textId="77777777" w:rsidR="00670218" w:rsidRPr="00434767" w:rsidRDefault="00670218" w:rsidP="00670218">
      <w:pPr>
        <w:pStyle w:val="ListParagraph"/>
        <w:spacing w:after="0"/>
        <w:ind w:left="360"/>
      </w:pPr>
    </w:p>
    <w:p w14:paraId="79048D7D" w14:textId="77777777" w:rsidR="00670218" w:rsidRPr="00DE1FAA" w:rsidRDefault="00670218" w:rsidP="00670218">
      <w:pPr>
        <w:pStyle w:val="ListParagraph"/>
        <w:spacing w:after="0" w:line="240" w:lineRule="auto"/>
        <w:ind w:left="360"/>
        <w:rPr>
          <w:b/>
          <w:bCs/>
        </w:rPr>
      </w:pPr>
      <w:r>
        <w:rPr>
          <w:b/>
          <w:bCs/>
        </w:rPr>
        <w:t>MARSS Models</w:t>
      </w:r>
    </w:p>
    <w:p w14:paraId="3EB4F13E" w14:textId="77777777" w:rsidR="00670218" w:rsidRDefault="00670218" w:rsidP="00670218">
      <w:pPr>
        <w:pStyle w:val="ListParagraph"/>
        <w:spacing w:after="0" w:line="240" w:lineRule="auto"/>
        <w:ind w:left="360"/>
      </w:pPr>
      <w:r>
        <w:t xml:space="preserve">Multivariate autoregressive state-space (MARSS) models are well suited for parsing long running time series survey </w:t>
      </w:r>
      <w:proofErr w:type="gramStart"/>
      <w:r>
        <w:t>data, and</w:t>
      </w:r>
      <w:proofErr w:type="gramEnd"/>
      <w:r>
        <w:t xml:space="preserve"> designed to mathematically distinguish observation error from error arising from stochasticity in the underlying state of a system. This feature is useful when parsing data collected by different observers operating in differing conditions (weather, time of day, time of year, etc.), where those conditions likely bias the observations being made. Furthermore, MARSS models allow for gaps in the observed time series, like those present in the Indian River data, while retaining the ability to make inferences about the underlying state (Holmes et al. 2012). </w:t>
      </w:r>
    </w:p>
    <w:p w14:paraId="3E97A2AD" w14:textId="77777777" w:rsidR="00670218" w:rsidRDefault="00670218" w:rsidP="00670218">
      <w:pPr>
        <w:pStyle w:val="ListParagraph"/>
        <w:spacing w:after="0" w:line="240" w:lineRule="auto"/>
        <w:ind w:left="360"/>
      </w:pPr>
    </w:p>
    <w:p w14:paraId="5A48A7CE" w14:textId="77777777" w:rsidR="00670218" w:rsidRPr="00124577" w:rsidRDefault="00670218" w:rsidP="00670218">
      <w:pPr>
        <w:pStyle w:val="ListParagraph"/>
        <w:spacing w:after="0" w:line="240" w:lineRule="auto"/>
        <w:ind w:left="360"/>
        <w:rPr>
          <w:rStyle w:val="mi"/>
          <w:rFonts w:cstheme="minorHAnsi"/>
          <w:bdr w:val="none" w:sz="0" w:space="0" w:color="auto" w:frame="1"/>
          <w:shd w:val="clear" w:color="auto" w:fill="FFFFFF"/>
        </w:rPr>
      </w:pPr>
      <w:r w:rsidRPr="00124577">
        <w:rPr>
          <w:rStyle w:val="mi"/>
          <w:rFonts w:cstheme="minorHAnsi"/>
          <w:bdr w:val="none" w:sz="0" w:space="0" w:color="auto" w:frame="1"/>
          <w:shd w:val="clear" w:color="auto" w:fill="FFFFFF"/>
        </w:rPr>
        <w:t xml:space="preserve">MARSS models are composed of a process (or state) </w:t>
      </w:r>
      <w:r>
        <w:rPr>
          <w:rStyle w:val="mi"/>
          <w:rFonts w:cstheme="minorHAnsi"/>
          <w:bdr w:val="none" w:sz="0" w:space="0" w:color="auto" w:frame="1"/>
          <w:shd w:val="clear" w:color="auto" w:fill="FFFFFF"/>
        </w:rPr>
        <w:t>equation</w:t>
      </w:r>
      <w:r w:rsidRPr="00124577">
        <w:rPr>
          <w:rStyle w:val="mi"/>
          <w:rFonts w:cstheme="minorHAnsi"/>
          <w:bdr w:val="none" w:sz="0" w:space="0" w:color="auto" w:frame="1"/>
          <w:shd w:val="clear" w:color="auto" w:fill="FFFFFF"/>
        </w:rPr>
        <w:t xml:space="preserve"> and an observation </w:t>
      </w:r>
      <w:r>
        <w:rPr>
          <w:rStyle w:val="mi"/>
          <w:rFonts w:cstheme="minorHAnsi"/>
          <w:bdr w:val="none" w:sz="0" w:space="0" w:color="auto" w:frame="1"/>
          <w:shd w:val="clear" w:color="auto" w:fill="FFFFFF"/>
        </w:rPr>
        <w:t>equation</w:t>
      </w:r>
      <w:r w:rsidRPr="00124577">
        <w:rPr>
          <w:rStyle w:val="mi"/>
          <w:rFonts w:cstheme="minorHAnsi"/>
          <w:bdr w:val="none" w:sz="0" w:space="0" w:color="auto" w:frame="1"/>
          <w:shd w:val="clear" w:color="auto" w:fill="FFFFFF"/>
        </w:rPr>
        <w:t>, generically formulated as follows:</w:t>
      </w:r>
    </w:p>
    <w:p w14:paraId="305A6553" w14:textId="77777777" w:rsidR="00670218" w:rsidRDefault="00670218" w:rsidP="00670218">
      <w:pPr>
        <w:pStyle w:val="ListParagraph"/>
        <w:spacing w:after="0" w:line="240" w:lineRule="auto"/>
        <w:ind w:left="360"/>
        <w:rPr>
          <w:rStyle w:val="mi"/>
          <w:rFonts w:ascii="MathJax_Math-italic" w:hAnsi="MathJax_Math-italic"/>
          <w:color w:val="333333"/>
          <w:sz w:val="19"/>
          <w:szCs w:val="19"/>
          <w:bdr w:val="none" w:sz="0" w:space="0" w:color="auto" w:frame="1"/>
          <w:shd w:val="clear" w:color="auto" w:fill="FFFFFF"/>
        </w:rPr>
      </w:pPr>
    </w:p>
    <w:p w14:paraId="16EDF2AD" w14:textId="77777777" w:rsidR="00670218" w:rsidRPr="008236D7" w:rsidRDefault="00670218" w:rsidP="00670218">
      <w:pPr>
        <w:spacing w:line="240" w:lineRule="auto"/>
        <w:jc w:val="center"/>
        <w:rPr>
          <w:rFonts w:ascii="Times New Roman" w:eastAsia="Times New Roman" w:hAnsi="Times New Roman" w:cs="Times New Roman"/>
          <w:kern w:val="0"/>
          <w:sz w:val="26"/>
          <w:szCs w:val="26"/>
          <w14:ligatures w14:val="none"/>
        </w:rPr>
      </w:pPr>
      <w:r>
        <w:t xml:space="preserve">Observation equation: </w:t>
      </w:r>
      <w:r>
        <w:tab/>
      </w:r>
      <w:r>
        <w:tab/>
      </w:r>
      <w:proofErr w:type="spellStart"/>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proofErr w:type="spellEnd"/>
      <w:r w:rsidRPr="00530885">
        <w:rPr>
          <w:rFonts w:ascii="MathJax_Main" w:eastAsia="Times New Roman" w:hAnsi="MathJax_Main" w:cs="Times New Roman"/>
          <w:kern w:val="0"/>
          <w:sz w:val="26"/>
          <w:szCs w:val="26"/>
          <w:bdr w:val="none" w:sz="0" w:space="0" w:color="auto" w:frame="1"/>
          <w14:ligatures w14:val="none"/>
        </w:rPr>
        <w:t>(</w:t>
      </w:r>
      <w:proofErr w:type="gramStart"/>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proofErr w:type="gramEnd"/>
      <w:r w:rsidRPr="00530885">
        <w:rPr>
          <w:rFonts w:ascii="MathJax_Main" w:eastAsia="Times New Roman" w:hAnsi="MathJax_Main" w:cs="Times New Roman"/>
          <w:kern w:val="0"/>
          <w:sz w:val="26"/>
          <w:szCs w:val="26"/>
          <w:bdr w:val="none" w:sz="0" w:space="0" w:color="auto" w:frame="1"/>
          <w14:ligatures w14:val="none"/>
        </w:rPr>
        <w:t>)</w:t>
      </w:r>
    </w:p>
    <w:p w14:paraId="4183A24D" w14:textId="77777777" w:rsidR="00670218" w:rsidRPr="00530885" w:rsidRDefault="00670218" w:rsidP="00670218">
      <w:pPr>
        <w:spacing w:line="240" w:lineRule="auto"/>
        <w:jc w:val="center"/>
        <w:rPr>
          <w:rFonts w:ascii="Times New Roman" w:eastAsia="Times New Roman" w:hAnsi="Times New Roman" w:cs="Times New Roman"/>
          <w:kern w:val="0"/>
          <w:sz w:val="26"/>
          <w:szCs w:val="26"/>
          <w14:ligatures w14:val="none"/>
        </w:rPr>
      </w:pPr>
      <w:r>
        <w:t>Process/state equation:</w:t>
      </w:r>
      <w:r>
        <w:tab/>
      </w:r>
      <w:r>
        <w:tab/>
      </w:r>
      <w:proofErr w:type="spellStart"/>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1747E">
        <w:rPr>
          <w:rFonts w:ascii="MathJax_Math-italic" w:eastAsia="Times New Roman" w:hAnsi="MathJax_Math-italic" w:cs="Times New Roman"/>
          <w:kern w:val="0"/>
          <w:sz w:val="20"/>
          <w:szCs w:val="20"/>
          <w:bdr w:val="none" w:sz="0" w:space="0" w:color="auto" w:frame="1"/>
          <w14:ligatures w14:val="none"/>
        </w:rPr>
        <w:t xml:space="preserve">, where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proofErr w:type="spellEnd"/>
      <w:r w:rsidRPr="00530885">
        <w:rPr>
          <w:rFonts w:ascii="MathJax_Main" w:eastAsia="Times New Roman" w:hAnsi="MathJax_Main" w:cs="Times New Roman"/>
          <w:kern w:val="0"/>
          <w:sz w:val="26"/>
          <w:szCs w:val="26"/>
          <w:bdr w:val="none" w:sz="0" w:space="0" w:color="auto" w:frame="1"/>
          <w14:ligatures w14:val="none"/>
        </w:rPr>
        <w:t>(</w:t>
      </w:r>
      <w:proofErr w:type="gramStart"/>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proofErr w:type="gramEnd"/>
      <w:r w:rsidRPr="00530885">
        <w:rPr>
          <w:rFonts w:ascii="MathJax_Main" w:eastAsia="Times New Roman" w:hAnsi="MathJax_Main" w:cs="Times New Roman"/>
          <w:kern w:val="0"/>
          <w:sz w:val="26"/>
          <w:szCs w:val="26"/>
          <w:bdr w:val="none" w:sz="0" w:space="0" w:color="auto" w:frame="1"/>
          <w14:ligatures w14:val="none"/>
        </w:rPr>
        <w:t>)</w:t>
      </w:r>
    </w:p>
    <w:p w14:paraId="0E4FB76A" w14:textId="05F5E422" w:rsidR="00670218" w:rsidRDefault="00670218" w:rsidP="003C5745">
      <w:pPr>
        <w:pStyle w:val="ListParagraph"/>
        <w:spacing w:after="0" w:line="240" w:lineRule="auto"/>
        <w:ind w:left="360"/>
      </w:pPr>
      <w:r>
        <w:t xml:space="preserve">In the above, observed data </w:t>
      </w:r>
      <w:proofErr w:type="gramStart"/>
      <w:r>
        <w:t>in a given</w:t>
      </w:r>
      <w:proofErr w:type="gramEnd"/>
      <w:r>
        <w:t xml:space="preserve"> </w:t>
      </w:r>
      <w:proofErr w:type="gramStart"/>
      <w:r>
        <w:t>time period</w:t>
      </w:r>
      <w:proofErr w:type="gramEnd"/>
      <w: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t>) are used to estimate the underlying state of a system of interest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t xml:space="preserve">). In the observation equation, </w:t>
      </w:r>
      <w:r w:rsidRPr="00344E76">
        <w:rPr>
          <w:rFonts w:ascii="MathJax_Math-italic" w:eastAsia="Times New Roman" w:hAnsi="MathJax_Math-italic" w:cs="Times New Roman"/>
          <w:b/>
          <w:bCs/>
          <w:kern w:val="0"/>
          <w:sz w:val="26"/>
          <w:szCs w:val="26"/>
          <w:bdr w:val="none" w:sz="0" w:space="0" w:color="auto" w:frame="1"/>
          <w14:ligatures w14:val="none"/>
        </w:rPr>
        <w:t>Z</w:t>
      </w:r>
      <w:r>
        <w:t xml:space="preserve"> determines which time series observations in the observation equation will inform which underlying states in the process equation. In the case of Indian River and the 35 index streams in its vicinity, specifying </w:t>
      </w:r>
      <w:r w:rsidRPr="00344E76">
        <w:rPr>
          <w:rFonts w:ascii="MathJax_Math-italic" w:eastAsia="Times New Roman" w:hAnsi="MathJax_Math-italic" w:cs="Times New Roman"/>
          <w:b/>
          <w:bCs/>
          <w:kern w:val="0"/>
          <w:sz w:val="26"/>
          <w:szCs w:val="26"/>
          <w:bdr w:val="none" w:sz="0" w:space="0" w:color="auto" w:frame="1"/>
          <w14:ligatures w14:val="none"/>
        </w:rPr>
        <w:t>Z</w:t>
      </w:r>
      <w:r>
        <w:t xml:space="preserve"> as a 36x36 identity matrix would allow each time series to be representative of a separate (in this case stream-level) state, while specifying </w:t>
      </w:r>
      <w:r w:rsidRPr="00344E76">
        <w:rPr>
          <w:rFonts w:ascii="MathJax_Math-italic" w:eastAsia="Times New Roman" w:hAnsi="MathJax_Math-italic" w:cs="Times New Roman"/>
          <w:b/>
          <w:bCs/>
          <w:kern w:val="0"/>
          <w:sz w:val="26"/>
          <w:szCs w:val="26"/>
          <w:bdr w:val="none" w:sz="0" w:space="0" w:color="auto" w:frame="1"/>
          <w14:ligatures w14:val="none"/>
        </w:rPr>
        <w:t>Z</w:t>
      </w:r>
      <w:r>
        <w:t xml:space="preserve"> as a 36x1 vector of 1s would force </w:t>
      </w:r>
      <w:proofErr w:type="spellStart"/>
      <w:r>
        <w:t>all time</w:t>
      </w:r>
      <w:proofErr w:type="spellEnd"/>
      <w:r>
        <w:t xml:space="preserve"> series in the data to represent samples from one comprehensive underlying state. </w:t>
      </w:r>
      <w:r w:rsidRPr="003C5745">
        <w:rPr>
          <w:rFonts w:ascii="MathJax_Math-italic" w:eastAsia="Times New Roman" w:hAnsi="MathJax_Math-italic" w:cs="Times New Roman"/>
          <w:b/>
          <w:bCs/>
          <w:kern w:val="0"/>
          <w:sz w:val="26"/>
          <w:szCs w:val="26"/>
          <w:bdr w:val="none" w:sz="0" w:space="0" w:color="auto" w:frame="1"/>
          <w14:ligatures w14:val="none"/>
        </w:rPr>
        <w:t>a</w:t>
      </w:r>
      <w:r>
        <w:t xml:space="preserve"> allows for trends in the observation process to be asserted or captured (depending on whether </w:t>
      </w:r>
      <w:r w:rsidRPr="003C5745">
        <w:rPr>
          <w:rFonts w:ascii="MathJax_Math-italic" w:eastAsia="Times New Roman" w:hAnsi="MathJax_Math-italic" w:cs="Times New Roman"/>
          <w:kern w:val="0"/>
          <w:sz w:val="26"/>
          <w:szCs w:val="26"/>
          <w:bdr w:val="none" w:sz="0" w:space="0" w:color="auto" w:frame="1"/>
          <w14:ligatures w14:val="none"/>
        </w:rPr>
        <w:t>a</w:t>
      </w:r>
      <w:r>
        <w:t xml:space="preserve"> is specified or estimated), and any correlation in observation error between time series is defined by </w:t>
      </w:r>
      <w:r w:rsidRPr="003C5745">
        <w:rPr>
          <w:rFonts w:ascii="MathJax_Math-italic" w:eastAsia="Times New Roman" w:hAnsi="MathJax_Math-italic" w:cs="Times New Roman"/>
          <w:b/>
          <w:bCs/>
          <w:kern w:val="0"/>
          <w:sz w:val="26"/>
          <w:szCs w:val="26"/>
          <w:bdr w:val="none" w:sz="0" w:space="0" w:color="auto" w:frame="1"/>
          <w14:ligatures w14:val="none"/>
        </w:rPr>
        <w:t>R</w:t>
      </w:r>
      <w:r w:rsidRPr="003C5745">
        <w:rPr>
          <w:rFonts w:ascii="MathJax_Math-italic" w:eastAsia="Times New Roman" w:hAnsi="MathJax_Math-italic" w:cs="Times New Roman"/>
          <w:kern w:val="0"/>
          <w:sz w:val="26"/>
          <w:szCs w:val="26"/>
          <w:bdr w:val="none" w:sz="0" w:space="0" w:color="auto" w:frame="1"/>
          <w14:ligatures w14:val="none"/>
        </w:rPr>
        <w:t xml:space="preserve">, </w:t>
      </w:r>
      <w:r>
        <w:t xml:space="preserve">the variance-covariance matrix. In the process equation, </w:t>
      </w:r>
      <w:r w:rsidRPr="003C5745">
        <w:rPr>
          <w:rFonts w:ascii="MathJax_Math-italic" w:eastAsia="Times New Roman" w:hAnsi="MathJax_Math-italic" w:cs="Times New Roman"/>
          <w:b/>
          <w:bCs/>
          <w:kern w:val="0"/>
          <w:sz w:val="26"/>
          <w:szCs w:val="26"/>
          <w:bdr w:val="none" w:sz="0" w:space="0" w:color="auto" w:frame="1"/>
          <w14:ligatures w14:val="none"/>
        </w:rPr>
        <w:t>B</w:t>
      </w:r>
      <w:r>
        <w:t xml:space="preserve"> </w:t>
      </w:r>
      <w:r>
        <w:lastRenderedPageBreak/>
        <w:t xml:space="preserve">defines the interaction between state estimates through time (i.e., </w:t>
      </w:r>
      <w:proofErr w:type="spellStart"/>
      <w:r w:rsidRPr="003C5745">
        <w:rPr>
          <w:rFonts w:ascii="MathJax_Math-italic" w:eastAsia="Times New Roman" w:hAnsi="MathJax_Math-italic" w:cs="Times New Roman"/>
          <w:b/>
          <w:bCs/>
          <w:kern w:val="0"/>
          <w:sz w:val="26"/>
          <w:szCs w:val="26"/>
          <w:bdr w:val="none" w:sz="0" w:space="0" w:color="auto" w:frame="1"/>
          <w14:ligatures w14:val="none"/>
        </w:rPr>
        <w:t>x</w:t>
      </w:r>
      <w:r w:rsidRPr="003C5745">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3C5745">
        <w:rPr>
          <w:rFonts w:ascii="MathJax_Main" w:eastAsia="Times New Roman" w:hAnsi="MathJax_Main" w:cs="Times New Roman"/>
          <w:kern w:val="0"/>
          <w:sz w:val="26"/>
          <w:szCs w:val="26"/>
          <w:bdr w:val="none" w:sz="0" w:space="0" w:color="auto" w:frame="1"/>
          <w14:ligatures w14:val="none"/>
        </w:rPr>
        <w:t xml:space="preserve"> </w:t>
      </w:r>
      <w:r>
        <w:t xml:space="preserve">and </w:t>
      </w:r>
      <w:r w:rsidRPr="003C5745">
        <w:rPr>
          <w:rFonts w:ascii="MathJax_Math-italic" w:eastAsia="Times New Roman" w:hAnsi="MathJax_Math-italic" w:cs="Times New Roman"/>
          <w:b/>
          <w:bCs/>
          <w:kern w:val="0"/>
          <w:sz w:val="26"/>
          <w:szCs w:val="26"/>
          <w:bdr w:val="none" w:sz="0" w:space="0" w:color="auto" w:frame="1"/>
          <w14:ligatures w14:val="none"/>
        </w:rPr>
        <w:t>x</w:t>
      </w:r>
      <w:r w:rsidRPr="003C5745">
        <w:rPr>
          <w:rFonts w:ascii="MathJax_Math-italic" w:eastAsia="Times New Roman" w:hAnsi="MathJax_Math-italic" w:cs="Times New Roman"/>
          <w:b/>
          <w:bCs/>
          <w:kern w:val="0"/>
          <w:sz w:val="26"/>
          <w:szCs w:val="26"/>
          <w:bdr w:val="none" w:sz="0" w:space="0" w:color="auto" w:frame="1"/>
          <w:vertAlign w:val="subscript"/>
          <w14:ligatures w14:val="none"/>
        </w:rPr>
        <w:t>t</w:t>
      </w:r>
      <w:r w:rsidRPr="003C5745">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3C5745">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3C5745">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3C5745">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3C5745">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w:t>
      </w:r>
      <w:proofErr w:type="gramStart"/>
      <w:r>
        <w:t>mean</w:t>
      </w:r>
      <w:proofErr w:type="gramEnd"/>
      <w:r>
        <w:t xml:space="preserve"> and how quickly the time series would return to the </w:t>
      </w:r>
      <w:proofErr w:type="gramStart"/>
      <w:r>
        <w:t>mean</w:t>
      </w:r>
      <w:proofErr w:type="gramEnd"/>
      <w:r>
        <w:t xml:space="preserve"> following some perturbation. Finally, the correlation of process error is defined by</w:t>
      </w:r>
      <w:r w:rsidRPr="003C5745">
        <w:rPr>
          <w:rFonts w:ascii="MathJax_Math-italic" w:eastAsia="Times New Roman" w:hAnsi="MathJax_Math-italic" w:cs="Times New Roman"/>
          <w:kern w:val="0"/>
          <w:sz w:val="26"/>
          <w:szCs w:val="26"/>
          <w:bdr w:val="none" w:sz="0" w:space="0" w:color="auto" w:frame="1"/>
          <w14:ligatures w14:val="none"/>
        </w:rPr>
        <w:t xml:space="preserve"> </w:t>
      </w:r>
      <w:r w:rsidRPr="003C5745">
        <w:rPr>
          <w:rFonts w:ascii="MathJax_Math-italic" w:eastAsia="Times New Roman" w:hAnsi="MathJax_Math-italic" w:cs="Times New Roman"/>
          <w:b/>
          <w:bCs/>
          <w:kern w:val="0"/>
          <w:sz w:val="26"/>
          <w:szCs w:val="26"/>
          <w:bdr w:val="none" w:sz="0" w:space="0" w:color="auto" w:frame="1"/>
          <w14:ligatures w14:val="none"/>
        </w:rPr>
        <w:t>Q</w:t>
      </w:r>
      <w:r>
        <w:t xml:space="preserve">. Finally, </w:t>
      </w:r>
      <w:proofErr w:type="spellStart"/>
      <w:r w:rsidRPr="003C5745">
        <w:rPr>
          <w:rFonts w:ascii="MathJax_Math-italic" w:eastAsia="Times New Roman" w:hAnsi="MathJax_Math-italic" w:cs="Times New Roman"/>
          <w:b/>
          <w:bCs/>
          <w:kern w:val="0"/>
          <w:sz w:val="26"/>
          <w:szCs w:val="26"/>
          <w:bdr w:val="none" w:sz="0" w:space="0" w:color="auto" w:frame="1"/>
          <w14:ligatures w14:val="none"/>
        </w:rPr>
        <w:t>c</w:t>
      </w:r>
      <w:r w:rsidRPr="003C5745">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t xml:space="preserve"> and </w:t>
      </w:r>
      <w:r w:rsidRPr="003C5745">
        <w:rPr>
          <w:rFonts w:ascii="MathJax_Math-italic" w:eastAsia="Times New Roman" w:hAnsi="MathJax_Math-italic" w:cs="Times New Roman"/>
          <w:b/>
          <w:bCs/>
          <w:kern w:val="0"/>
          <w:sz w:val="26"/>
          <w:szCs w:val="26"/>
          <w:bdr w:val="none" w:sz="0" w:space="0" w:color="auto" w:frame="1"/>
          <w14:ligatures w14:val="none"/>
        </w:rPr>
        <w:t>d</w:t>
      </w:r>
      <w:r w:rsidRPr="003C5745">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are covariate data related to the state or sampling procedure respectively, with </w:t>
      </w:r>
      <w:r w:rsidRPr="003C5745">
        <w:rPr>
          <w:rFonts w:ascii="MathJax_Math-italic" w:eastAsia="Times New Roman" w:hAnsi="MathJax_Math-italic" w:cs="Times New Roman"/>
          <w:b/>
          <w:bCs/>
          <w:kern w:val="0"/>
          <w:sz w:val="26"/>
          <w:szCs w:val="26"/>
          <w:bdr w:val="none" w:sz="0" w:space="0" w:color="auto" w:frame="1"/>
          <w14:ligatures w14:val="none"/>
        </w:rPr>
        <w:t>C</w:t>
      </w:r>
      <w:r>
        <w:t xml:space="preserve"> and </w:t>
      </w:r>
      <w:r w:rsidRPr="003C5745">
        <w:rPr>
          <w:rFonts w:ascii="MathJax_Math-italic" w:eastAsia="Times New Roman" w:hAnsi="MathJax_Math-italic" w:cs="Times New Roman"/>
          <w:b/>
          <w:bCs/>
          <w:kern w:val="0"/>
          <w:sz w:val="26"/>
          <w:szCs w:val="26"/>
          <w:bdr w:val="none" w:sz="0" w:space="0" w:color="auto" w:frame="1"/>
          <w14:ligatures w14:val="none"/>
        </w:rPr>
        <w:t>D</w:t>
      </w:r>
      <w:r>
        <w:t xml:space="preserve"> capturing the effect of said covariates. </w:t>
      </w:r>
    </w:p>
    <w:p w14:paraId="233C03CC" w14:textId="77777777" w:rsidR="00670218" w:rsidRDefault="00670218" w:rsidP="00670218">
      <w:pPr>
        <w:pStyle w:val="ListParagraph"/>
        <w:spacing w:after="0" w:line="240" w:lineRule="auto"/>
        <w:ind w:left="360"/>
      </w:pPr>
    </w:p>
    <w:p w14:paraId="506A7BFB" w14:textId="77777777" w:rsidR="00670218" w:rsidRPr="00DE1FAA" w:rsidRDefault="00670218" w:rsidP="00670218">
      <w:pPr>
        <w:pStyle w:val="ListParagraph"/>
        <w:spacing w:after="0" w:line="240" w:lineRule="auto"/>
        <w:ind w:left="360"/>
        <w:rPr>
          <w:b/>
          <w:bCs/>
        </w:rPr>
      </w:pPr>
      <w:r>
        <w:rPr>
          <w:b/>
          <w:bCs/>
        </w:rPr>
        <w:t>Regional Abundance</w:t>
      </w:r>
    </w:p>
    <w:p w14:paraId="202321FB" w14:textId="77777777" w:rsidR="00670218" w:rsidRDefault="00670218" w:rsidP="00670218">
      <w:pPr>
        <w:pStyle w:val="ListParagraph"/>
        <w:spacing w:after="0" w:line="240" w:lineRule="auto"/>
        <w:ind w:left="360"/>
      </w:pPr>
      <w:r>
        <w:t>The first stage of this research will attempt to assess whether abundances of pink salmon observed at Indian River are consistent with those abundances seen elsewhere in the region, with no attention paid to the existence of the hatchery. This is accomplished by comparing MARSS model estimates of the underlying population of Indian River pink salmon to populations estimated in ADFG’s 35 north southeast (outside) index streams. These models include covariate controls for ocean climate and the observer of record for each time series observation (in north</w:t>
      </w:r>
      <w:r w:rsidRPr="007B271F">
        <w:t xml:space="preserve"> </w:t>
      </w:r>
      <w:r>
        <w:t xml:space="preserve">southeast (outside) index streams the observer was recorded in 77% of observations, with the rest being assigned an unknown observer). The specification of the </w:t>
      </w:r>
      <w:r w:rsidRPr="00344E76">
        <w:rPr>
          <w:rFonts w:ascii="MathJax_Math-italic" w:eastAsia="Times New Roman" w:hAnsi="MathJax_Math-italic" w:cs="Times New Roman"/>
          <w:b/>
          <w:bCs/>
          <w:kern w:val="0"/>
          <w:sz w:val="26"/>
          <w:szCs w:val="26"/>
          <w:bdr w:val="none" w:sz="0" w:space="0" w:color="auto" w:frame="1"/>
          <w14:ligatures w14:val="none"/>
        </w:rPr>
        <w:t>Z</w:t>
      </w:r>
      <w:r>
        <w:t xml:space="preserve"> is of particular importance to this work, as it defines the state against which Indian River pink salmon abundances will be compared. Thus far, the most parsimonious model as defined by AIC includes a 36x2 </w:t>
      </w:r>
      <w:r w:rsidRPr="006E4EB8">
        <w:rPr>
          <w:rFonts w:ascii="MathJax_Math-italic" w:eastAsia="Times New Roman" w:hAnsi="MathJax_Math-italic" w:cs="Times New Roman"/>
          <w:b/>
          <w:bCs/>
          <w:kern w:val="0"/>
          <w:sz w:val="26"/>
          <w:szCs w:val="26"/>
          <w:bdr w:val="none" w:sz="0" w:space="0" w:color="auto" w:frame="1"/>
          <w14:ligatures w14:val="none"/>
        </w:rPr>
        <w:t>Z</w:t>
      </w:r>
      <w:r>
        <w:t xml:space="preserve"> matrix, which selects the Indian River as representative of one state and all other streams in the sub-region as representative of a second state. This is consistent with non-quantitative intuition if indeed the presence of SJH creates conditions that differ from a “natural” state. No trends are estimated for the observation process, but the model allows for distinct trends in both underlying states. Covariate data relating to observers (</w:t>
      </w:r>
      <w:r w:rsidRPr="00344E76">
        <w:rPr>
          <w:rFonts w:ascii="MathJax_Math-italic" w:eastAsia="Times New Roman" w:hAnsi="MathJax_Math-italic" w:cs="Times New Roman"/>
          <w:b/>
          <w:bCs/>
          <w:kern w:val="0"/>
          <w:sz w:val="26"/>
          <w:szCs w:val="26"/>
          <w:bdr w:val="none" w:sz="0" w:space="0" w:color="auto" w:frame="1"/>
          <w14:ligatures w14:val="none"/>
        </w:rPr>
        <w:t>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t>) and ocean climate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t xml:space="preserve">) are included, resulting in the model described below. </w:t>
      </w:r>
    </w:p>
    <w:p w14:paraId="7EDB4CD5" w14:textId="77777777" w:rsidR="00670218" w:rsidRDefault="00670218" w:rsidP="00670218">
      <w:pPr>
        <w:pStyle w:val="ListParagraph"/>
        <w:spacing w:after="0" w:line="240" w:lineRule="auto"/>
        <w:ind w:left="360"/>
      </w:pPr>
    </w:p>
    <w:p w14:paraId="3E1F7F7D" w14:textId="77777777" w:rsidR="00670218" w:rsidRPr="008236D7" w:rsidRDefault="00670218" w:rsidP="00670218">
      <w:pPr>
        <w:spacing w:line="240" w:lineRule="auto"/>
        <w:jc w:val="center"/>
        <w:rPr>
          <w:rFonts w:ascii="Times New Roman" w:eastAsia="Times New Roman" w:hAnsi="Times New Roman" w:cs="Times New Roman"/>
          <w:kern w:val="0"/>
          <w:sz w:val="26"/>
          <w:szCs w:val="26"/>
          <w14:ligatures w14:val="none"/>
        </w:rPr>
      </w:pPr>
      <w:r>
        <w:t xml:space="preserve">Observation equation: </w:t>
      </w:r>
      <w:r>
        <w:tab/>
      </w:r>
      <w:r>
        <w:tab/>
      </w:r>
      <w:proofErr w:type="spellStart"/>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proofErr w:type="spellEnd"/>
      <w:r w:rsidRPr="00530885">
        <w:rPr>
          <w:rFonts w:ascii="MathJax_Main" w:eastAsia="Times New Roman" w:hAnsi="MathJax_Main" w:cs="Times New Roman"/>
          <w:kern w:val="0"/>
          <w:sz w:val="26"/>
          <w:szCs w:val="26"/>
          <w:bdr w:val="none" w:sz="0" w:space="0" w:color="auto" w:frame="1"/>
          <w14:ligatures w14:val="none"/>
        </w:rPr>
        <w:t>(</w:t>
      </w:r>
      <w:proofErr w:type="gramStart"/>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proofErr w:type="gramEnd"/>
      <w:r w:rsidRPr="00530885">
        <w:rPr>
          <w:rFonts w:ascii="MathJax_Main" w:eastAsia="Times New Roman" w:hAnsi="MathJax_Main" w:cs="Times New Roman"/>
          <w:kern w:val="0"/>
          <w:sz w:val="26"/>
          <w:szCs w:val="26"/>
          <w:bdr w:val="none" w:sz="0" w:space="0" w:color="auto" w:frame="1"/>
          <w14:ligatures w14:val="none"/>
        </w:rPr>
        <w:t>)</w:t>
      </w:r>
    </w:p>
    <w:p w14:paraId="596ABED7" w14:textId="77777777" w:rsidR="00670218" w:rsidRPr="00F85DB1" w:rsidRDefault="00670218" w:rsidP="00670218">
      <w:pPr>
        <w:spacing w:after="0" w:line="240" w:lineRule="auto"/>
        <w:jc w:val="center"/>
        <w:rPr>
          <w:rFonts w:ascii="Times New Roman" w:eastAsia="Times New Roman" w:hAnsi="Times New Roman" w:cs="Times New Roman"/>
          <w:kern w:val="0"/>
          <w:sz w:val="26"/>
          <w:szCs w:val="26"/>
          <w14:ligatures w14:val="none"/>
        </w:rPr>
      </w:pPr>
      <w:r>
        <w:t>Process/state equation:</w:t>
      </w:r>
      <w:r>
        <w:tab/>
      </w:r>
      <w:r>
        <w:tab/>
      </w:r>
      <w:proofErr w:type="spellStart"/>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1747E">
        <w:rPr>
          <w:rFonts w:ascii="MathJax_Math-italic" w:eastAsia="Times New Roman" w:hAnsi="MathJax_Math-italic" w:cs="Times New Roman"/>
          <w:kern w:val="0"/>
          <w:sz w:val="20"/>
          <w:szCs w:val="20"/>
          <w:bdr w:val="none" w:sz="0" w:space="0" w:color="auto" w:frame="1"/>
          <w14:ligatures w14:val="none"/>
        </w:rPr>
        <w:t xml:space="preserve">, where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proofErr w:type="spellEnd"/>
      <w:r w:rsidRPr="00530885">
        <w:rPr>
          <w:rFonts w:ascii="MathJax_Main" w:eastAsia="Times New Roman" w:hAnsi="MathJax_Main" w:cs="Times New Roman"/>
          <w:kern w:val="0"/>
          <w:sz w:val="26"/>
          <w:szCs w:val="26"/>
          <w:bdr w:val="none" w:sz="0" w:space="0" w:color="auto" w:frame="1"/>
          <w14:ligatures w14:val="none"/>
        </w:rPr>
        <w:t>(</w:t>
      </w:r>
      <w:proofErr w:type="gramStart"/>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proofErr w:type="gramEnd"/>
      <w:r w:rsidRPr="00530885">
        <w:rPr>
          <w:rFonts w:ascii="MathJax_Main" w:eastAsia="Times New Roman" w:hAnsi="MathJax_Main" w:cs="Times New Roman"/>
          <w:kern w:val="0"/>
          <w:sz w:val="26"/>
          <w:szCs w:val="26"/>
          <w:bdr w:val="none" w:sz="0" w:space="0" w:color="auto" w:frame="1"/>
          <w14:ligatures w14:val="none"/>
        </w:rPr>
        <w:t>)</w:t>
      </w:r>
    </w:p>
    <w:p w14:paraId="6F28358A" w14:textId="77777777" w:rsidR="00670218" w:rsidRDefault="00670218" w:rsidP="00670218">
      <w:pPr>
        <w:pStyle w:val="ListParagraph"/>
        <w:spacing w:after="0" w:line="240" w:lineRule="auto"/>
        <w:ind w:left="360"/>
      </w:pPr>
    </w:p>
    <w:p w14:paraId="749ADD80" w14:textId="77777777" w:rsidR="00670218" w:rsidRDefault="00670218" w:rsidP="00670218">
      <w:pPr>
        <w:pStyle w:val="ListParagraph"/>
        <w:spacing w:after="0" w:line="240" w:lineRule="auto"/>
        <w:ind w:left="360"/>
      </w:pPr>
      <w:r>
        <w:t>The underlying state of Indian River pink salmon abundance seems to be higher than that of the surrounding region (Figure 1.3). This could indicate the impact of SJH pink salmon releases, but is far from conclusive in this regard, as there will always be above and below average runs even if habitat quality is roughly similar. Therefore, the next stage of this work will seek to isolate the effect hatchery operations have had on populations of pink salmon at Indian River.</w:t>
      </w:r>
    </w:p>
    <w:p w14:paraId="743066C4" w14:textId="77777777" w:rsidR="00670218" w:rsidRDefault="00670218" w:rsidP="00670218">
      <w:pPr>
        <w:pStyle w:val="ListParagraph"/>
        <w:spacing w:after="0" w:line="240" w:lineRule="auto"/>
        <w:ind w:left="360"/>
      </w:pPr>
    </w:p>
    <w:p w14:paraId="7FE3635D" w14:textId="77777777" w:rsidR="00670218" w:rsidRDefault="00670218" w:rsidP="00670218">
      <w:pPr>
        <w:pStyle w:val="ListParagraph"/>
        <w:spacing w:after="0" w:line="240" w:lineRule="auto"/>
        <w:ind w:left="360"/>
      </w:pPr>
      <w:r>
        <w:rPr>
          <w:noProof/>
        </w:rPr>
        <w:lastRenderedPageBreak/>
        <w:drawing>
          <wp:anchor distT="0" distB="0" distL="114300" distR="114300" simplePos="0" relativeHeight="251659264" behindDoc="0" locked="0" layoutInCell="1" allowOverlap="1" wp14:anchorId="120471DA" wp14:editId="4F907FFA">
            <wp:simplePos x="0" y="0"/>
            <wp:positionH relativeFrom="margin">
              <wp:posOffset>0</wp:posOffset>
            </wp:positionH>
            <wp:positionV relativeFrom="paragraph">
              <wp:posOffset>191135</wp:posOffset>
            </wp:positionV>
            <wp:extent cx="5943600" cy="5943600"/>
            <wp:effectExtent l="0" t="0" r="0" b="0"/>
            <wp:wrapTopAndBottom/>
            <wp:docPr id="1007255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55794" name="Picture 1007255794"/>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anchor>
        </w:drawing>
      </w:r>
    </w:p>
    <w:p w14:paraId="5167D1DB" w14:textId="77777777" w:rsidR="00670218" w:rsidRDefault="00670218" w:rsidP="00670218">
      <w:pPr>
        <w:pStyle w:val="ListParagraph"/>
        <w:spacing w:after="0" w:line="240" w:lineRule="auto"/>
        <w:ind w:left="360"/>
      </w:pPr>
    </w:p>
    <w:p w14:paraId="16EAAE21" w14:textId="77777777" w:rsidR="00670218" w:rsidRDefault="00670218" w:rsidP="00670218">
      <w:pPr>
        <w:pStyle w:val="ListParagraph"/>
        <w:spacing w:after="0" w:line="240" w:lineRule="auto"/>
        <w:ind w:left="360"/>
      </w:pPr>
      <w:r w:rsidRPr="007E0A7D">
        <w:rPr>
          <w:i/>
          <w:iCs/>
          <w:sz w:val="20"/>
          <w:szCs w:val="20"/>
        </w:rPr>
        <w:t xml:space="preserve">Figure </w:t>
      </w:r>
      <w:r>
        <w:rPr>
          <w:i/>
          <w:iCs/>
          <w:sz w:val="20"/>
          <w:szCs w:val="20"/>
        </w:rPr>
        <w:t>1.3</w:t>
      </w:r>
      <w:r w:rsidRPr="007E0A7D">
        <w:rPr>
          <w:i/>
          <w:iCs/>
          <w:sz w:val="20"/>
          <w:szCs w:val="20"/>
        </w:rPr>
        <w:t xml:space="preserve">: </w:t>
      </w:r>
      <w:r>
        <w:rPr>
          <w:i/>
          <w:iCs/>
          <w:sz w:val="20"/>
          <w:szCs w:val="20"/>
        </w:rPr>
        <w:t>MARSS model results estimating the underlying states of even-year pink salmon abundance at Indian River (highlighted in pink) and throughout north southeast (outside) region (grey). Abundance estimates are scaled by stream length and z-standardized at the stream level. Uncertainty is higher at Indian River due to fewer observations.</w:t>
      </w:r>
      <w:r>
        <w:rPr>
          <w:noProof/>
        </w:rPr>
        <w:t xml:space="preserve"> </w:t>
      </w:r>
    </w:p>
    <w:p w14:paraId="4426ED39" w14:textId="77777777" w:rsidR="00670218" w:rsidRDefault="00670218" w:rsidP="00670218">
      <w:pPr>
        <w:pStyle w:val="ListParagraph"/>
        <w:spacing w:after="0" w:line="240" w:lineRule="auto"/>
        <w:ind w:left="360"/>
      </w:pPr>
    </w:p>
    <w:p w14:paraId="24677741" w14:textId="77777777" w:rsidR="00670218" w:rsidRDefault="00670218" w:rsidP="00670218">
      <w:pPr>
        <w:pStyle w:val="ListParagraph"/>
        <w:spacing w:after="0" w:line="240" w:lineRule="auto"/>
        <w:ind w:left="360"/>
      </w:pPr>
    </w:p>
    <w:p w14:paraId="3056C065" w14:textId="77777777" w:rsidR="00670218" w:rsidRPr="00DE1FAA" w:rsidRDefault="00670218" w:rsidP="00670218">
      <w:pPr>
        <w:pStyle w:val="ListParagraph"/>
        <w:spacing w:after="0" w:line="240" w:lineRule="auto"/>
        <w:ind w:left="360"/>
        <w:rPr>
          <w:b/>
          <w:bCs/>
        </w:rPr>
      </w:pPr>
      <w:r>
        <w:rPr>
          <w:b/>
          <w:bCs/>
        </w:rPr>
        <w:t>Effect of Hatchery Operations</w:t>
      </w:r>
    </w:p>
    <w:p w14:paraId="0B1FBCFC" w14:textId="77777777" w:rsidR="00670218" w:rsidRDefault="00670218" w:rsidP="00670218">
      <w:pPr>
        <w:pStyle w:val="ListParagraph"/>
        <w:spacing w:after="0" w:line="240" w:lineRule="auto"/>
        <w:ind w:left="360"/>
      </w:pPr>
      <w:r>
        <w:t xml:space="preserve">The timeline of SJH potentially impacting pink salmon abundance at Indian River is reasonably straightforward: hatchery operations begin in 1975, meaning that given the short life cycle of pink salmon, the first returning adults would appear shortly thereafter (it is </w:t>
      </w:r>
      <w:r>
        <w:lastRenderedPageBreak/>
        <w:t>unclear from available documentation whether a brood of fish were released in 1975 or if that was the first year broodstock was taken from sources at Indian River and Starrigavan Creek). For the first three decades of its existence, SJH was permitted to propagate 1 million pink salmon eggs per year, with this number increased to 3 million in 2010. This then defines three distinct time periods of SJH production: pre-1975 with no hatchery operations, 1975-2009 with low level operations, and post-2010 with high level operations (</w:t>
      </w:r>
      <w:proofErr w:type="spellStart"/>
      <w:r>
        <w:t>Stopha</w:t>
      </w:r>
      <w:proofErr w:type="spellEnd"/>
      <w:r>
        <w:t xml:space="preserve"> 2015). </w:t>
      </w:r>
    </w:p>
    <w:p w14:paraId="5BA1BE4D" w14:textId="77777777" w:rsidR="00670218" w:rsidRDefault="00670218" w:rsidP="00670218">
      <w:pPr>
        <w:pStyle w:val="ListParagraph"/>
        <w:spacing w:after="0" w:line="240" w:lineRule="auto"/>
        <w:ind w:left="360"/>
      </w:pPr>
    </w:p>
    <w:p w14:paraId="670E76FF" w14:textId="77777777" w:rsidR="00670218" w:rsidRDefault="00670218" w:rsidP="00670218">
      <w:pPr>
        <w:pStyle w:val="ListParagraph"/>
        <w:spacing w:after="0" w:line="240" w:lineRule="auto"/>
        <w:ind w:left="360"/>
      </w:pPr>
      <w:r>
        <w:t>This research seeks to take advantage of these distinct time periods by utilizing a difference-in-difference (DD) framework. This quasi-experimental approach is designed to assess the impact of an intervention (in this case the operations of SJH) on an outcome of interest (pink salmon abundance at Indian River). DD modeling compares a treatment group to a control group across two time periods, pre- and post- intervention. The general structure of a difference-in-difference model is as follows:</w:t>
      </w:r>
    </w:p>
    <w:p w14:paraId="30F80B79" w14:textId="77777777" w:rsidR="00670218" w:rsidRDefault="00670218" w:rsidP="00670218">
      <w:pPr>
        <w:pStyle w:val="ListParagraph"/>
        <w:spacing w:after="0" w:line="240" w:lineRule="auto"/>
        <w:ind w:left="360"/>
      </w:pPr>
    </w:p>
    <w:p w14:paraId="36DCFDF2" w14:textId="77777777" w:rsidR="00670218" w:rsidRPr="00530885" w:rsidRDefault="00670218" w:rsidP="00670218">
      <w:pPr>
        <w:spacing w:line="240" w:lineRule="auto"/>
        <w:jc w:val="center"/>
        <w:rPr>
          <w:rFonts w:ascii="Times New Roman" w:eastAsia="Times New Roman" w:hAnsi="Times New Roman" w:cs="Times New Roman"/>
          <w:kern w:val="0"/>
          <w:sz w:val="26"/>
          <w:szCs w:val="26"/>
          <w14:ligatures w14:val="none"/>
        </w:rPr>
      </w:pPr>
      <w:proofErr w:type="spellStart"/>
      <w:proofErr w:type="gramStart"/>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proofErr w:type="spellEnd"/>
      <w:proofErr w:type="gram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proofErr w:type="gramStart"/>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post </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w:t>
      </w:r>
      <w:proofErr w:type="gramEnd"/>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rPr>
          <w:rFonts w:ascii="MathJax_Math-italic" w:eastAsia="Times New Roman" w:hAnsi="MathJax_Math-italic" w:cs="Times New Roman"/>
          <w:kern w:val="0"/>
          <w:sz w:val="26"/>
          <w:szCs w:val="26"/>
          <w:bdr w:val="none" w:sz="0" w:space="0" w:color="auto" w:frame="1"/>
          <w14:ligatures w14:val="none"/>
        </w:rPr>
        <w:t>*</w:t>
      </w:r>
      <w:proofErr w:type="spellStart"/>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proofErr w:type="spellEnd"/>
      <w:r>
        <w:rPr>
          <w:rFonts w:ascii="MathJax_Math-italic" w:eastAsia="Times New Roman" w:hAnsi="MathJax_Math-italic" w:cs="Times New Roman"/>
          <w:kern w:val="0"/>
          <w:sz w:val="26"/>
          <w:szCs w:val="26"/>
          <w:bdr w:val="none" w:sz="0" w:space="0" w:color="auto" w:frame="1"/>
          <w:vertAlign w:val="subscript"/>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proofErr w:type="spellStart"/>
      <w:proofErr w:type="gramStart"/>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roofErr w:type="spellEnd"/>
      <w:proofErr w:type="gramEnd"/>
    </w:p>
    <w:p w14:paraId="5706F059" w14:textId="453D909E" w:rsidR="00670218" w:rsidRDefault="00670218" w:rsidP="00670218">
      <w:pPr>
        <w:pStyle w:val="ListParagraph"/>
        <w:spacing w:after="0" w:line="240" w:lineRule="auto"/>
        <w:ind w:left="360"/>
      </w:pPr>
      <w:r>
        <w:t xml:space="preserve">In the above, </w:t>
      </w:r>
      <w:proofErr w:type="spellStart"/>
      <w:r>
        <w:rPr>
          <w:rFonts w:ascii="MathJax_Math-italic" w:eastAsia="Times New Roman" w:hAnsi="MathJax_Math-italic" w:cs="Times New Roman"/>
          <w:kern w:val="0"/>
          <w:sz w:val="26"/>
          <w:szCs w:val="26"/>
          <w:bdr w:val="none" w:sz="0" w:space="0" w:color="auto" w:frame="1"/>
          <w14:ligatures w14:val="none"/>
        </w:rPr>
        <w:t>i</w:t>
      </w:r>
      <w:proofErr w:type="spellEnd"/>
      <w:r>
        <w:t xml:space="preserve"> indexes whether an observation (</w:t>
      </w:r>
      <w:proofErr w:type="spellStart"/>
      <w:proofErr w:type="gramStart"/>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proofErr w:type="spellEnd"/>
      <w:proofErr w:type="gramEnd"/>
      <w:r>
        <w:t xml:space="preserve">) relates to the treatment or control group, while </w:t>
      </w:r>
      <w:r>
        <w:rPr>
          <w:rFonts w:ascii="MathJax_Math-italic" w:eastAsia="Times New Roman" w:hAnsi="MathJax_Math-italic" w:cs="Times New Roman"/>
          <w:kern w:val="0"/>
          <w:sz w:val="26"/>
          <w:szCs w:val="26"/>
          <w:bdr w:val="none" w:sz="0" w:space="0" w:color="auto" w:frame="1"/>
          <w14:ligatures w14:val="none"/>
        </w:rPr>
        <w:t>t</w:t>
      </w:r>
      <w:r>
        <w:t xml:space="preserve"> indexes whether that same observation comes from before or after the treatment is applied. </w:t>
      </w:r>
      <w:proofErr w:type="spellStart"/>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proofErr w:type="spellEnd"/>
      <w:r>
        <w:t xml:space="preserve"> is equal to 1 when </w:t>
      </w:r>
      <w:proofErr w:type="spellStart"/>
      <w:proofErr w:type="gramStart"/>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proofErr w:type="spellEnd"/>
      <w:proofErr w:type="gramEnd"/>
      <w:r>
        <w:t xml:space="preserve"> is part of the treatment group and equal to 0 otherwise. Similarly</w:t>
      </w:r>
      <w:r w:rsidR="003C5745">
        <w:t>,</w:t>
      </w:r>
      <w:r>
        <w:t xml:space="preserve"> </w:t>
      </w:r>
      <w:proofErr w:type="spellStart"/>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proofErr w:type="spellEnd"/>
      <w:r>
        <w:t xml:space="preserve"> is equal to 1 when </w:t>
      </w:r>
      <w:proofErr w:type="spellStart"/>
      <w:proofErr w:type="gramStart"/>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proofErr w:type="spellEnd"/>
      <w:proofErr w:type="gramEnd"/>
      <w:r>
        <w:t xml:space="preserve"> is observed after treatment is applied, and equal to 0 when </w:t>
      </w:r>
      <w:proofErr w:type="spellStart"/>
      <w:proofErr w:type="gramStart"/>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proofErr w:type="spellEnd"/>
      <w:proofErr w:type="gramEnd"/>
      <w:r>
        <w:t xml:space="preserve"> is observed before. These indicator variables allow for the estimation of a net effect of treatment on the treatment group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t>) by first controlling for differing characteristics in the treatment and control group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t>) and differences in the pre- and post-treatment time periods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t>). Additional control covariates may be included to further isolate the effects of interest. Crucially, input data must cover both a control and treatment group, as well as time periods before and after the intervention of interest. It is important to note that in this case, and indeed in almost every application of DD modeling, true controls in sense of those resulting from a randomized experimental design are unavailable. Instead, researchers must make do with treating what might be referred to as reference states as control groups. The assumption that these reference states are suitable proxies for randomized control groups is bolstered through the application of event studies which evaluate whether trends in control and treatment groups are mathematically similar in the pre-treatment period (Cunningham 2021).</w:t>
      </w:r>
    </w:p>
    <w:p w14:paraId="403F7274" w14:textId="77777777" w:rsidR="00670218" w:rsidRDefault="00670218" w:rsidP="00670218">
      <w:pPr>
        <w:pStyle w:val="ListParagraph"/>
        <w:spacing w:after="0" w:line="240" w:lineRule="auto"/>
        <w:ind w:left="360"/>
      </w:pPr>
    </w:p>
    <w:p w14:paraId="5D16AA19" w14:textId="77777777" w:rsidR="00670218" w:rsidRDefault="00670218" w:rsidP="00670218">
      <w:pPr>
        <w:pStyle w:val="ListParagraph"/>
        <w:spacing w:after="0" w:line="240" w:lineRule="auto"/>
        <w:ind w:left="360"/>
      </w:pPr>
      <w:r>
        <w:t xml:space="preserve">Applying a DD framework to this research, observations of pink salmon abundances at Indian River are assigned to the treatment group while observations at neighboring ADFG index streams form the control group. Such a framework will also be used to evaluate pre- and post-treatment variance in year-to-year abundances. Pre- and post-1980 will be evaluated to indicate the treatment period (allowing a couple of years for hatchery operations to ramp up). A statistically significant estimate of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t xml:space="preserve"> greater than 0 would indicate that SJH operations are exerting upward pressure on Indian River pink salmon abundance. However, even if an estimate is found to be statistically significant, the size of the effect must also be considered, as even a significant effect may not be responsible for a large impact on salmon abundance. A separate specification of the DD model will include an </w:t>
      </w:r>
      <w:r>
        <w:lastRenderedPageBreak/>
        <w:t xml:space="preserve">indicator variable related to periods pre- and post-2010, to assess the impact of heightened pink salmon production. </w:t>
      </w:r>
    </w:p>
    <w:p w14:paraId="498878BE" w14:textId="77777777" w:rsidR="00670218" w:rsidRDefault="00670218" w:rsidP="00670218">
      <w:pPr>
        <w:pStyle w:val="ListParagraph"/>
        <w:spacing w:after="0" w:line="240" w:lineRule="auto"/>
        <w:ind w:left="360"/>
      </w:pPr>
    </w:p>
    <w:p w14:paraId="138CEDF0" w14:textId="77777777" w:rsidR="00670218" w:rsidRPr="00DE1FAA" w:rsidRDefault="00670218" w:rsidP="00670218">
      <w:pPr>
        <w:pStyle w:val="ListParagraph"/>
        <w:spacing w:after="0" w:line="240" w:lineRule="auto"/>
        <w:ind w:left="360"/>
        <w:rPr>
          <w:b/>
          <w:bCs/>
        </w:rPr>
      </w:pPr>
      <w:r>
        <w:rPr>
          <w:b/>
          <w:bCs/>
        </w:rPr>
        <w:t>Effect of Hatchery Releases</w:t>
      </w:r>
    </w:p>
    <w:p w14:paraId="2090CCA8" w14:textId="77777777" w:rsidR="00670218" w:rsidRDefault="00670218" w:rsidP="00670218">
      <w:pPr>
        <w:pStyle w:val="ListParagraph"/>
        <w:spacing w:after="0" w:line="240" w:lineRule="auto"/>
        <w:ind w:left="360"/>
      </w:pPr>
      <w:r>
        <w:t xml:space="preserve">Next, this research will move beyond the effect of SJH hatchery operations and focus on the effect of the number of fish released by the hatchery each year. While scarcity of available stray rate data makes a direct analysis of the impacts of straying impossible, MARSS models can estimate the impacts of hatchery releases on pink salmon abundance at Indian River (as well as the inverse). It is important to consider the effect of straying both to and from Indian River, as both would influence the abundances observed in stream. This can be accomplished using a MARSS model which incorporates observations of Indian River escapement, as well as estimates of adult spawners returning to SJH. By specifying </w:t>
      </w:r>
      <w:r w:rsidRPr="00EB1F3A">
        <w:rPr>
          <w:rFonts w:ascii="MathJax_Math-italic" w:eastAsia="Times New Roman" w:hAnsi="MathJax_Math-italic" w:cs="Times New Roman"/>
          <w:b/>
          <w:bCs/>
          <w:kern w:val="0"/>
          <w:sz w:val="26"/>
          <w:szCs w:val="26"/>
          <w:bdr w:val="none" w:sz="0" w:space="0" w:color="auto" w:frame="1"/>
          <w14:ligatures w14:val="none"/>
        </w:rPr>
        <w:t>B</w:t>
      </w:r>
      <w:r>
        <w:t xml:space="preserve"> as a 2x2 matrix with four unique elements, the model will estimate the effect of the number of fish returning to each system in time step </w:t>
      </w:r>
      <w:r>
        <w:rPr>
          <w:rFonts w:ascii="MathJax_Math-italic" w:eastAsia="Times New Roman" w:hAnsi="MathJax_Math-italic" w:cs="Times New Roman"/>
          <w:kern w:val="0"/>
          <w:sz w:val="26"/>
          <w:szCs w:val="26"/>
          <w:bdr w:val="none" w:sz="0" w:space="0" w:color="auto" w:frame="1"/>
          <w14:ligatures w14:val="none"/>
        </w:rPr>
        <w:t>t-1</w:t>
      </w:r>
      <w:r>
        <w:t xml:space="preserve"> on the number of fish returning to each system in times step </w:t>
      </w:r>
      <w:proofErr w:type="gramStart"/>
      <w:r>
        <w:rPr>
          <w:rFonts w:ascii="MathJax_Math-italic" w:eastAsia="Times New Roman" w:hAnsi="MathJax_Math-italic" w:cs="Times New Roman"/>
          <w:kern w:val="0"/>
          <w:sz w:val="26"/>
          <w:szCs w:val="26"/>
          <w:bdr w:val="none" w:sz="0" w:space="0" w:color="auto" w:frame="1"/>
          <w14:ligatures w14:val="none"/>
        </w:rPr>
        <w:t>t</w:t>
      </w:r>
      <w:r>
        <w:t>.</w:t>
      </w:r>
      <w:proofErr w:type="gramEnd"/>
      <w:r>
        <w:t xml:space="preserve"> It is important to note that, because escapement data are long transformed, the </w:t>
      </w:r>
      <w:r w:rsidRPr="00EB1F3A">
        <w:rPr>
          <w:rFonts w:ascii="MathJax_Math-italic" w:eastAsia="Times New Roman" w:hAnsi="MathJax_Math-italic" w:cs="Times New Roman"/>
          <w:b/>
          <w:bCs/>
          <w:kern w:val="0"/>
          <w:sz w:val="26"/>
          <w:szCs w:val="26"/>
          <w:bdr w:val="none" w:sz="0" w:space="0" w:color="auto" w:frame="1"/>
          <w14:ligatures w14:val="none"/>
        </w:rPr>
        <w:t>B</w:t>
      </w:r>
      <w:r>
        <w:t xml:space="preserve"> elements estimated will be associated with percent increases from one time step to the next. An example of such a model’s process equation written out in matrix form follows:</w:t>
      </w:r>
    </w:p>
    <w:p w14:paraId="6E0812E8" w14:textId="77777777" w:rsidR="00670218" w:rsidRDefault="00670218" w:rsidP="00670218">
      <w:pPr>
        <w:pStyle w:val="ListParagraph"/>
        <w:spacing w:after="0" w:line="240" w:lineRule="auto"/>
        <w:ind w:left="360"/>
      </w:pPr>
      <w:r>
        <w:rPr>
          <w:rFonts w:ascii="MathJax_Math-italic" w:eastAsia="Times New Roman" w:hAnsi="MathJax_Math-italic" w:cs="Times New Roman"/>
          <w:kern w:val="0"/>
          <w:sz w:val="26"/>
          <w:szCs w:val="26"/>
          <w:bdr w:val="none" w:sz="0" w:space="0" w:color="auto" w:frame="1"/>
          <w14:ligatures w14:val="none"/>
        </w:rPr>
        <w:t xml:space="preserve"> </w:t>
      </w:r>
    </w:p>
    <w:p w14:paraId="46CA523B" w14:textId="77777777" w:rsidR="00670218" w:rsidRDefault="00670218" w:rsidP="00670218">
      <w:pPr>
        <w:pStyle w:val="ListParagraph"/>
        <w:spacing w:after="0" w:line="240" w:lineRule="auto"/>
        <w:ind w:left="360"/>
        <w:jc w:val="center"/>
      </w:pPr>
      <w:r w:rsidRPr="008F21BB">
        <w:rPr>
          <w:noProof/>
        </w:rPr>
        <w:drawing>
          <wp:inline distT="0" distB="0" distL="0" distR="0" wp14:anchorId="758A741B" wp14:editId="5B952B4A">
            <wp:extent cx="2495678" cy="438173"/>
            <wp:effectExtent l="0" t="0" r="0" b="0"/>
            <wp:docPr id="2050713751" name="Picture 1" descr="A close 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713751" name="Picture 1" descr="A close up of a white background&#10;&#10;AI-generated content may be incorrect."/>
                    <pic:cNvPicPr/>
                  </pic:nvPicPr>
                  <pic:blipFill>
                    <a:blip r:embed="rId8"/>
                    <a:stretch>
                      <a:fillRect/>
                    </a:stretch>
                  </pic:blipFill>
                  <pic:spPr>
                    <a:xfrm>
                      <a:off x="0" y="0"/>
                      <a:ext cx="2495678" cy="438173"/>
                    </a:xfrm>
                    <a:prstGeom prst="rect">
                      <a:avLst/>
                    </a:prstGeom>
                  </pic:spPr>
                </pic:pic>
              </a:graphicData>
            </a:graphic>
          </wp:inline>
        </w:drawing>
      </w:r>
      <w:r w:rsidRPr="008F21BB">
        <w:t xml:space="preserve"> </w:t>
      </w:r>
    </w:p>
    <w:p w14:paraId="5AC17653" w14:textId="77777777" w:rsidR="00670218" w:rsidRDefault="00670218" w:rsidP="00670218">
      <w:pPr>
        <w:pStyle w:val="ListParagraph"/>
        <w:spacing w:after="0" w:line="240" w:lineRule="auto"/>
        <w:ind w:left="360"/>
      </w:pPr>
    </w:p>
    <w:p w14:paraId="4AE546A3" w14:textId="77777777" w:rsidR="00670218" w:rsidRDefault="00670218" w:rsidP="00670218">
      <w:pPr>
        <w:pStyle w:val="ListParagraph"/>
        <w:spacing w:after="0" w:line="240" w:lineRule="auto"/>
        <w:ind w:left="360"/>
      </w:pPr>
      <w:r>
        <w:t xml:space="preserve">Of particular interest are the terms </w:t>
      </w:r>
      <w:proofErr w:type="spellStart"/>
      <w:r w:rsidRPr="008F21BB">
        <w:rPr>
          <w:rFonts w:ascii="MathJax_Math-italic" w:eastAsia="Times New Roman" w:hAnsi="MathJax_Math-italic" w:cs="Times New Roman"/>
          <w:kern w:val="0"/>
          <w:sz w:val="26"/>
          <w:szCs w:val="26"/>
          <w:bdr w:val="none" w:sz="0" w:space="0" w:color="auto" w:frame="1"/>
          <w14:ligatures w14:val="none"/>
        </w:rPr>
        <w:t>b</w:t>
      </w:r>
      <w:r w:rsidRPr="008F21BB">
        <w:rPr>
          <w:rFonts w:ascii="MathJax_Math-italic" w:eastAsia="Times New Roman" w:hAnsi="MathJax_Math-italic" w:cs="Times New Roman"/>
          <w:kern w:val="0"/>
          <w:sz w:val="26"/>
          <w:szCs w:val="26"/>
          <w:bdr w:val="none" w:sz="0" w:space="0" w:color="auto" w:frame="1"/>
          <w:vertAlign w:val="subscript"/>
          <w14:ligatures w14:val="none"/>
        </w:rPr>
        <w:t>RH</w:t>
      </w:r>
      <w:proofErr w:type="spellEnd"/>
      <w:r>
        <w:t xml:space="preserve"> and </w:t>
      </w:r>
      <w:proofErr w:type="spellStart"/>
      <w:r w:rsidRPr="008F21BB">
        <w:rPr>
          <w:rFonts w:ascii="MathJax_Math-italic" w:eastAsia="Times New Roman" w:hAnsi="MathJax_Math-italic" w:cs="Times New Roman"/>
          <w:kern w:val="0"/>
          <w:sz w:val="26"/>
          <w:szCs w:val="26"/>
          <w:bdr w:val="none" w:sz="0" w:space="0" w:color="auto" w:frame="1"/>
          <w14:ligatures w14:val="none"/>
        </w:rPr>
        <w:t>b</w:t>
      </w:r>
      <w:r>
        <w:rPr>
          <w:rFonts w:ascii="MathJax_Math-italic" w:eastAsia="Times New Roman" w:hAnsi="MathJax_Math-italic" w:cs="Times New Roman"/>
          <w:kern w:val="0"/>
          <w:sz w:val="26"/>
          <w:szCs w:val="26"/>
          <w:bdr w:val="none" w:sz="0" w:space="0" w:color="auto" w:frame="1"/>
          <w:vertAlign w:val="subscript"/>
          <w14:ligatures w14:val="none"/>
        </w:rPr>
        <w:t>HR</w:t>
      </w:r>
      <w:proofErr w:type="spellEnd"/>
      <w:r>
        <w:t xml:space="preserve">, which describe the effects of fish returning to SJH in year </w:t>
      </w:r>
      <w:r>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Pr>
          <w:rFonts w:ascii="MathJax_Math-italic" w:eastAsia="Times New Roman" w:hAnsi="MathJax_Math-italic" w:cs="Times New Roman"/>
          <w:kern w:val="0"/>
          <w:sz w:val="26"/>
          <w:szCs w:val="26"/>
          <w:bdr w:val="none" w:sz="0" w:space="0" w:color="auto" w:frame="1"/>
          <w14:ligatures w14:val="none"/>
        </w:rPr>
        <w:t>t</w:t>
      </w:r>
      <w:r>
        <w:t xml:space="preserve">, and vice versa. An additional advantage of modeling the Indian River/SJH system directly is the ability to include additional control variable specific to the area (such as rainfall and temperature), in the effort to further isolate the effect of these systems on one another. </w:t>
      </w:r>
    </w:p>
    <w:p w14:paraId="7FCF4F38" w14:textId="77777777" w:rsidR="00670218" w:rsidRDefault="00670218" w:rsidP="00E65279">
      <w:pPr>
        <w:spacing w:line="240" w:lineRule="auto"/>
      </w:pPr>
    </w:p>
    <w:p w14:paraId="4F1F1CCA" w14:textId="77777777" w:rsidR="00670218" w:rsidRDefault="00670218" w:rsidP="00670218">
      <w:pPr>
        <w:pStyle w:val="ListParagraph"/>
        <w:numPr>
          <w:ilvl w:val="1"/>
          <w:numId w:val="1"/>
        </w:numPr>
        <w:spacing w:line="240" w:lineRule="auto"/>
        <w:rPr>
          <w:b/>
          <w:bCs/>
        </w:rPr>
      </w:pPr>
      <w:bookmarkStart w:id="1" w:name="_Hlk201668133"/>
      <w:r>
        <w:rPr>
          <w:b/>
          <w:bCs/>
        </w:rPr>
        <w:t>Results</w:t>
      </w:r>
    </w:p>
    <w:p w14:paraId="77A05E8D" w14:textId="130765FC" w:rsidR="00670218" w:rsidRPr="0062154B" w:rsidRDefault="00670218" w:rsidP="00670218">
      <w:pPr>
        <w:pStyle w:val="ListParagraph"/>
        <w:spacing w:line="240" w:lineRule="auto"/>
        <w:ind w:left="360"/>
      </w:pPr>
      <w:r>
        <w:t xml:space="preserve">The numbers of pink salmon returning to Indian River are higher in most years than what might be expected for a stream of a given length in the north southeast (outside) sub-region (Figure 1.3). This does not necessarily mean that SJH is driving this behavior, and indeed, if all streams were modeled as representative of individual underlying states, there will likely be a range of behaviors distributed around some general trend. Estimating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t xml:space="preserve"> in a DD framework will provide more conclusive evidence of the impact of SJH operations. Additionally, evaluating the impact of the 2010 increase in SJH pink salmon production may provide insight as to how the impact of hatchery operations on wild populations scales. Finally, evaluation of the impact of returning SJH pink salmon on the subsequent generation of Indian River pink salmon</w:t>
      </w:r>
      <w:r w:rsidR="00614E66">
        <w:t xml:space="preserve"> </w:t>
      </w:r>
      <w:r>
        <w:t>will</w:t>
      </w:r>
      <w:r w:rsidR="00614E66">
        <w:t xml:space="preserve"> illustrate the extent to which hatchery releases are driving abundances observed within the park. Taken together, these results should</w:t>
      </w:r>
      <w:r>
        <w:t xml:space="preserve"> </w:t>
      </w:r>
      <w:r w:rsidR="00614E66">
        <w:t xml:space="preserve">describe whether pink salmon abundances seen in recent decades at Indian River </w:t>
      </w:r>
      <w:r>
        <w:t xml:space="preserve">are </w:t>
      </w:r>
      <w:r w:rsidR="00614E66">
        <w:t xml:space="preserve">indeed </w:t>
      </w:r>
      <w:r>
        <w:t>unnatural</w:t>
      </w:r>
      <w:r w:rsidR="00614E66">
        <w:t xml:space="preserve"> or within some natural range of variation relative to the wider region</w:t>
      </w:r>
      <w:r>
        <w:t>.</w:t>
      </w:r>
    </w:p>
    <w:bookmarkEnd w:id="1"/>
    <w:p w14:paraId="5E583A03" w14:textId="77777777" w:rsidR="00670218" w:rsidRDefault="00670218" w:rsidP="00670218">
      <w:pPr>
        <w:pStyle w:val="ListParagraph"/>
        <w:ind w:left="360"/>
        <w:rPr>
          <w:b/>
          <w:bCs/>
        </w:rPr>
      </w:pPr>
    </w:p>
    <w:p w14:paraId="79B6696A" w14:textId="78F6E4BB" w:rsidR="00670218" w:rsidRDefault="0093781E" w:rsidP="00670218">
      <w:pPr>
        <w:pStyle w:val="ListParagraph"/>
        <w:numPr>
          <w:ilvl w:val="1"/>
          <w:numId w:val="1"/>
        </w:numPr>
        <w:rPr>
          <w:b/>
          <w:bCs/>
        </w:rPr>
      </w:pPr>
      <w:r>
        <w:rPr>
          <w:b/>
          <w:bCs/>
        </w:rPr>
        <w:t>Discussion</w:t>
      </w:r>
    </w:p>
    <w:p w14:paraId="3B4F9D4E" w14:textId="750B4614" w:rsidR="00BF04BF" w:rsidRDefault="00670218" w:rsidP="00670218">
      <w:pPr>
        <w:spacing w:line="240" w:lineRule="auto"/>
        <w:ind w:left="360"/>
      </w:pPr>
      <w:r>
        <w:t xml:space="preserve">The results of this work are intended first and foremost to provide management at SITK with a comprehensive description of both the impacts of SJH operations and of the population dynamics of pink salmon throughout the broader region. Understanding whether pink salmon at Indian River exist within a ‘natural range of variation’ requires context, and placing Indian River within this context will enable park officials to better understand their duties </w:t>
      </w:r>
      <w:proofErr w:type="gramStart"/>
      <w:r>
        <w:t>with regard to</w:t>
      </w:r>
      <w:proofErr w:type="gramEnd"/>
      <w:r>
        <w:t xml:space="preserve"> a potential overabundance of these fish. Additionally, estimating the effects of various levels of straying on pink salmon abundance may enable park officials to better understand when abundances are being driven by hatchery strays and when they are reflecting regional trends (although this would require more robust monitoring of stray rates).</w:t>
      </w:r>
      <w:bookmarkEnd w:id="0"/>
    </w:p>
    <w:p w14:paraId="4C8C71F7" w14:textId="77777777" w:rsidR="00BF04BF" w:rsidRDefault="00BF04BF">
      <w:r>
        <w:br w:type="page"/>
      </w:r>
    </w:p>
    <w:p w14:paraId="6A692A0F" w14:textId="77777777" w:rsidR="00114A77" w:rsidRPr="00B81603" w:rsidRDefault="00114A77" w:rsidP="00114A77">
      <w:pPr>
        <w:spacing w:line="240" w:lineRule="auto"/>
        <w:rPr>
          <w:b/>
          <w:bCs/>
        </w:rPr>
      </w:pPr>
      <w:r w:rsidRPr="00B81603">
        <w:rPr>
          <w:b/>
          <w:bCs/>
        </w:rPr>
        <w:lastRenderedPageBreak/>
        <w:t>References</w:t>
      </w:r>
    </w:p>
    <w:p w14:paraId="5F7F79DB" w14:textId="1CFF94A8" w:rsidR="00114A77" w:rsidRDefault="00114A77" w:rsidP="00114A77">
      <w:pPr>
        <w:spacing w:line="240" w:lineRule="auto"/>
        <w:ind w:left="720" w:hanging="720"/>
      </w:pPr>
      <w:r>
        <w:t xml:space="preserve">Alaska Department of Fish and Game. 2024a. Commercial Salmon Fisheries – Southeast Alaska &amp; Yakutat Research: Pink Salmon. Available at: </w:t>
      </w:r>
      <w:hyperlink r:id="rId9" w:history="1">
        <w:r w:rsidRPr="007B1A5E">
          <w:rPr>
            <w:rStyle w:val="Hyperlink"/>
          </w:rPr>
          <w:t>https://www.adfg.alaska.gov/index.cfm?adfg=commercialbyareasoutheast.salmon_research_pink</w:t>
        </w:r>
      </w:hyperlink>
      <w:r>
        <w:t xml:space="preserve"> (accessed December 14, 2024)</w:t>
      </w:r>
    </w:p>
    <w:p w14:paraId="3872C2CA" w14:textId="13F6AD6D" w:rsidR="00114A77" w:rsidRDefault="00114A77" w:rsidP="00114A77">
      <w:pPr>
        <w:spacing w:line="240" w:lineRule="auto"/>
        <w:ind w:left="720" w:hanging="720"/>
      </w:pPr>
      <w:r>
        <w:t xml:space="preserve">Alaska Department of Fish and Game. 2024b. Mark Recovery Laboratory – Otolith Marking. Available at: </w:t>
      </w:r>
      <w:hyperlink r:id="rId10" w:history="1">
        <w:r w:rsidRPr="007B1A5E">
          <w:rPr>
            <w:rStyle w:val="Hyperlink"/>
          </w:rPr>
          <w:t>https://mtalab.adfg.alaska.gov/OTO/marking.aspx</w:t>
        </w:r>
      </w:hyperlink>
      <w:r>
        <w:t xml:space="preserve"> (accessed December 14, 2024)</w:t>
      </w:r>
    </w:p>
    <w:p w14:paraId="1C8A191B" w14:textId="23A8E9EF" w:rsidR="00114A77" w:rsidRPr="00E66FA7" w:rsidRDefault="00114A77" w:rsidP="00114A77">
      <w:pPr>
        <w:spacing w:line="240" w:lineRule="auto"/>
        <w:ind w:left="720" w:hanging="720"/>
      </w:pPr>
      <w:r>
        <w:t xml:space="preserve">Beckett, K., E. Elle, C. Kremen, A. Sherwood, S. McComb, T. G. Martin. 2022. Hyperabundant black-tailed deer impact endangered Garry oak ecosystem floral and bumblebee communities. </w:t>
      </w:r>
      <w:r>
        <w:rPr>
          <w:i/>
          <w:iCs/>
        </w:rPr>
        <w:t>Global Ecology and Conservation</w:t>
      </w:r>
      <w:r>
        <w:t xml:space="preserve"> 38: 14pp.</w:t>
      </w:r>
    </w:p>
    <w:p w14:paraId="418E3C4F" w14:textId="22234A45" w:rsidR="00114A77" w:rsidRPr="008776F4" w:rsidRDefault="00114A77" w:rsidP="00114A77">
      <w:pPr>
        <w:spacing w:line="240" w:lineRule="auto"/>
        <w:ind w:left="720" w:hanging="720"/>
      </w:pPr>
      <w:r>
        <w:t xml:space="preserve">Cunningham, S. 2021. </w:t>
      </w:r>
      <w:r>
        <w:rPr>
          <w:i/>
          <w:iCs/>
        </w:rPr>
        <w:t>Causal Inference: The Mixtape.</w:t>
      </w:r>
      <w:r>
        <w:t xml:space="preserve"> Yale University Press, 352 </w:t>
      </w:r>
      <w:proofErr w:type="gramStart"/>
      <w:r>
        <w:t>pp</w:t>
      </w:r>
      <w:proofErr w:type="gramEnd"/>
      <w:r>
        <w:t>.</w:t>
      </w:r>
    </w:p>
    <w:p w14:paraId="14758B09" w14:textId="7366D338" w:rsidR="00114A77" w:rsidRDefault="00114A77" w:rsidP="00114A77">
      <w:pPr>
        <w:spacing w:line="240" w:lineRule="auto"/>
        <w:ind w:left="720" w:hanging="720"/>
      </w:pPr>
      <w:r>
        <w:t xml:space="preserve">Gende, S. and B. Carter. 2015. </w:t>
      </w:r>
      <w:r w:rsidRPr="00942C32">
        <w:rPr>
          <w:i/>
          <w:iCs/>
        </w:rPr>
        <w:t>Straying rates of pink salmon into the Indian River, Sitka National Historical Park. Final Report – ADF&amp;G Permit # SF2015-225.</w:t>
      </w:r>
      <w:r>
        <w:t xml:space="preserve"> National Park Service, 11 </w:t>
      </w:r>
      <w:proofErr w:type="gramStart"/>
      <w:r>
        <w:t>pp</w:t>
      </w:r>
      <w:proofErr w:type="gramEnd"/>
      <w:r>
        <w:t>.</w:t>
      </w:r>
    </w:p>
    <w:p w14:paraId="7C63A465" w14:textId="4AC20B52" w:rsidR="00114A77" w:rsidRDefault="00114A77" w:rsidP="00114A77">
      <w:pPr>
        <w:spacing w:line="240" w:lineRule="auto"/>
        <w:ind w:left="720" w:hanging="720"/>
      </w:pPr>
      <w:r>
        <w:t xml:space="preserve">Holmes, E. E., E. J. Ward, and K. Wills. 2012. MARSS: Multivariate Autoregressive State-space Models for Analyzing Time-series Data. </w:t>
      </w:r>
      <w:r>
        <w:rPr>
          <w:i/>
          <w:iCs/>
        </w:rPr>
        <w:t>The R Journal</w:t>
      </w:r>
      <w:r>
        <w:t xml:space="preserve"> 4(1): 11-19.</w:t>
      </w:r>
    </w:p>
    <w:p w14:paraId="6D2E70EB" w14:textId="11392BEC" w:rsidR="00114A77" w:rsidRDefault="00114A77" w:rsidP="00114A77">
      <w:pPr>
        <w:spacing w:line="240" w:lineRule="auto"/>
        <w:ind w:left="720" w:hanging="720"/>
      </w:pPr>
      <w:r>
        <w:t xml:space="preserve">Knudsen, E. E., P. S. Rand, K. B. Gorman, D. R. Bernard, W. D. Templin. 2021. Hatchery-origin stray rates and total run characteristics for Pink Salmon and Chum Salmon returning to Prince William Sound, Alaska in 2013-2015. </w:t>
      </w:r>
      <w:r>
        <w:rPr>
          <w:i/>
          <w:iCs/>
        </w:rPr>
        <w:t xml:space="preserve">Marine and Coastal Fisheries </w:t>
      </w:r>
      <w:r>
        <w:t>13(1): 41-68.</w:t>
      </w:r>
    </w:p>
    <w:p w14:paraId="7FA5E90C" w14:textId="7F0289E2" w:rsidR="00114A77" w:rsidRPr="00E66FA7" w:rsidRDefault="00114A77" w:rsidP="00114A77">
      <w:pPr>
        <w:spacing w:line="240" w:lineRule="auto"/>
        <w:ind w:left="720" w:hanging="720"/>
      </w:pPr>
      <w:r>
        <w:t xml:space="preserve">Moore, J. H., L. Gibson, Z. Amir, W. </w:t>
      </w:r>
      <w:proofErr w:type="spellStart"/>
      <w:r>
        <w:t>Chanthorn</w:t>
      </w:r>
      <w:proofErr w:type="spellEnd"/>
      <w:r>
        <w:t xml:space="preserve">, A. H. Ahmad, P. A. Jansen, C. P. Mendes, M. Onuma, C. A. Peres, M. S. Luskin. 2023. The rise of hyperabundant native generalists threatens both humans and nature. </w:t>
      </w:r>
      <w:r>
        <w:rPr>
          <w:i/>
          <w:iCs/>
        </w:rPr>
        <w:t>Biological Reviews</w:t>
      </w:r>
      <w:r>
        <w:t xml:space="preserve"> 98(5): 1829-1844.</w:t>
      </w:r>
    </w:p>
    <w:p w14:paraId="4B58A7F7" w14:textId="1F70ACE6" w:rsidR="00114A77" w:rsidRDefault="00114A77" w:rsidP="00114A77">
      <w:pPr>
        <w:spacing w:line="240" w:lineRule="auto"/>
        <w:ind w:left="720" w:hanging="720"/>
      </w:pPr>
      <w:r>
        <w:t xml:space="preserve">National Park Service. 2025a. Organic Act of 1916. Available at: </w:t>
      </w:r>
      <w:hyperlink r:id="rId11" w:history="1">
        <w:r w:rsidRPr="00096DB2">
          <w:rPr>
            <w:rStyle w:val="Hyperlink"/>
          </w:rPr>
          <w:t>https://www.nps.gov/grba/learn/management/organic-act-of-1916.htm</w:t>
        </w:r>
      </w:hyperlink>
      <w:r>
        <w:t xml:space="preserve"> (accessed March 27, 2025)</w:t>
      </w:r>
    </w:p>
    <w:p w14:paraId="23308294" w14:textId="40A5A887" w:rsidR="00114A77" w:rsidRPr="00096DB2" w:rsidRDefault="00114A77" w:rsidP="00114A77">
      <w:pPr>
        <w:spacing w:line="240" w:lineRule="auto"/>
        <w:ind w:left="720" w:hanging="720"/>
        <w:rPr>
          <w:i/>
          <w:iCs/>
        </w:rPr>
      </w:pPr>
      <w:r>
        <w:t xml:space="preserve">National Park Service. 2025b. Sitka National Historical Park. Available at: </w:t>
      </w:r>
      <w:hyperlink r:id="rId12" w:history="1">
        <w:r w:rsidRPr="00096DB2">
          <w:rPr>
            <w:rStyle w:val="Hyperlink"/>
          </w:rPr>
          <w:t>https://www.nps.gov/sitk/index.htm</w:t>
        </w:r>
      </w:hyperlink>
      <w:r>
        <w:t xml:space="preserve"> (accessed March 18, 2025)</w:t>
      </w:r>
      <w:r>
        <w:rPr>
          <w:i/>
          <w:iCs/>
        </w:rPr>
        <w:t xml:space="preserve"> </w:t>
      </w:r>
    </w:p>
    <w:p w14:paraId="6D2A6588" w14:textId="2E3F2CFE" w:rsidR="00114A77" w:rsidRDefault="00114A77" w:rsidP="00114A77">
      <w:pPr>
        <w:spacing w:line="240" w:lineRule="auto"/>
        <w:ind w:left="720" w:hanging="720"/>
      </w:pPr>
      <w:r>
        <w:t xml:space="preserve">Quinn, T. P. 2018. </w:t>
      </w:r>
      <w:r>
        <w:rPr>
          <w:i/>
          <w:iCs/>
        </w:rPr>
        <w:t>The Behavior and Ecology of Pacific Salmon and Trout, Second Edition.</w:t>
      </w:r>
      <w:r>
        <w:t xml:space="preserve"> University of Washington Press, 547 </w:t>
      </w:r>
      <w:proofErr w:type="gramStart"/>
      <w:r>
        <w:t>pp</w:t>
      </w:r>
      <w:proofErr w:type="gramEnd"/>
      <w:r>
        <w:t>.</w:t>
      </w:r>
    </w:p>
    <w:p w14:paraId="0E86086C" w14:textId="48ADDFF8" w:rsidR="00114A77" w:rsidRDefault="00114A77" w:rsidP="00114A77">
      <w:pPr>
        <w:spacing w:line="240" w:lineRule="auto"/>
        <w:ind w:left="720" w:hanging="720"/>
      </w:pPr>
      <w:proofErr w:type="spellStart"/>
      <w:r>
        <w:t>Sambaraju</w:t>
      </w:r>
      <w:proofErr w:type="spellEnd"/>
      <w:r>
        <w:t xml:space="preserve">, K. R., D. W. Goodman. 2021. Mountain pine beetle: an example of a climate-driven eruptive insect impacting conifer forest ecosystems. </w:t>
      </w:r>
      <w:r>
        <w:rPr>
          <w:i/>
          <w:iCs/>
        </w:rPr>
        <w:t>CABI Reviews</w:t>
      </w:r>
      <w:r>
        <w:t>: 18pp.</w:t>
      </w:r>
    </w:p>
    <w:p w14:paraId="11D4F41A" w14:textId="517602D0" w:rsidR="00114A77" w:rsidRPr="005810E6" w:rsidRDefault="00114A77" w:rsidP="00114A77">
      <w:pPr>
        <w:spacing w:line="240" w:lineRule="auto"/>
        <w:ind w:left="720" w:hanging="720"/>
      </w:pPr>
      <w:r>
        <w:t xml:space="preserve">Sergeant, C. J., J. R. Bellmore, C. McConnell, J. W. Moore. 2017. High salmon density and low discharge create periodic hypoxia in coastal rivers. </w:t>
      </w:r>
      <w:r>
        <w:rPr>
          <w:i/>
          <w:iCs/>
        </w:rPr>
        <w:t>Ecosphere</w:t>
      </w:r>
      <w:r>
        <w:t xml:space="preserve"> 8(6</w:t>
      </w:r>
      <w:r w:rsidRPr="00C5517B">
        <w:rPr>
          <w:rFonts w:cstheme="minorHAnsi"/>
        </w:rPr>
        <w:t>)</w:t>
      </w:r>
      <w:r w:rsidRPr="00A9712C">
        <w:rPr>
          <w:rFonts w:cstheme="minorHAnsi"/>
          <w:kern w:val="0"/>
        </w:rPr>
        <w:t>:</w:t>
      </w:r>
      <w:r>
        <w:rPr>
          <w:rFonts w:cstheme="minorHAnsi"/>
          <w:kern w:val="0"/>
        </w:rPr>
        <w:t xml:space="preserve"> 16pp</w:t>
      </w:r>
      <w:r w:rsidRPr="00C5517B">
        <w:rPr>
          <w:rFonts w:cstheme="minorHAnsi"/>
        </w:rPr>
        <w:t>.</w:t>
      </w:r>
    </w:p>
    <w:p w14:paraId="31A546F6" w14:textId="3756B79C" w:rsidR="00114A77" w:rsidRDefault="00114A77" w:rsidP="00114A77">
      <w:pPr>
        <w:spacing w:line="240" w:lineRule="auto"/>
        <w:ind w:left="720" w:hanging="720"/>
      </w:pPr>
      <w:r>
        <w:t xml:space="preserve">Sergeant, C. J., J. R. Bellmore, R. A. Bellmore, J. A. Falke, F. J. </w:t>
      </w:r>
      <w:proofErr w:type="spellStart"/>
      <w:r>
        <w:t>Mueter</w:t>
      </w:r>
      <w:proofErr w:type="spellEnd"/>
      <w:r>
        <w:t xml:space="preserve">, and P. A. H. Westley. 2023. Hypoxia vulnerability in the salmon watersheds of Southeast Alaska. </w:t>
      </w:r>
      <w:r>
        <w:rPr>
          <w:i/>
          <w:iCs/>
        </w:rPr>
        <w:t xml:space="preserve">Science of the Total Environment </w:t>
      </w:r>
      <w:r>
        <w:t>896:</w:t>
      </w:r>
      <w:r w:rsidRPr="00C5517B">
        <w:t xml:space="preserve"> </w:t>
      </w:r>
      <w:r>
        <w:t>12</w:t>
      </w:r>
      <w:proofErr w:type="gramStart"/>
      <w:r>
        <w:t>pp</w:t>
      </w:r>
      <w:proofErr w:type="gramEnd"/>
      <w:r>
        <w:t>.</w:t>
      </w:r>
    </w:p>
    <w:p w14:paraId="177B0B86" w14:textId="14CEB18B" w:rsidR="00114A77" w:rsidRPr="008776F4" w:rsidRDefault="00114A77" w:rsidP="00114A77">
      <w:pPr>
        <w:spacing w:line="240" w:lineRule="auto"/>
        <w:ind w:left="720" w:hanging="720"/>
        <w:rPr>
          <w:i/>
          <w:iCs/>
        </w:rPr>
      </w:pPr>
      <w:proofErr w:type="spellStart"/>
      <w:r>
        <w:lastRenderedPageBreak/>
        <w:t>Stopha</w:t>
      </w:r>
      <w:proofErr w:type="spellEnd"/>
      <w:r>
        <w:t xml:space="preserve">, M. 2015. </w:t>
      </w:r>
      <w:r w:rsidRPr="00CA1D5B">
        <w:rPr>
          <w:i/>
          <w:iCs/>
        </w:rPr>
        <w:t xml:space="preserve">An Evaluation of the Sheldon Jackson Salmon Hatchery for Consistency with Statewide Policies and Prescribed Management Practices. </w:t>
      </w:r>
      <w:r w:rsidRPr="00CA1D5B">
        <w:t>Alaska Department of Fish and Game, Division of Commercial Fisheries,</w:t>
      </w:r>
      <w:r>
        <w:t xml:space="preserve"> 42 </w:t>
      </w:r>
      <w:proofErr w:type="gramStart"/>
      <w:r>
        <w:t>pp</w:t>
      </w:r>
      <w:proofErr w:type="gramEnd"/>
      <w:r>
        <w:t>.</w:t>
      </w:r>
    </w:p>
    <w:p w14:paraId="6601B0F3" w14:textId="587DDB1D" w:rsidR="00114A77" w:rsidRDefault="00114A77" w:rsidP="00114A77">
      <w:pPr>
        <w:spacing w:line="240" w:lineRule="auto"/>
        <w:ind w:left="720" w:hanging="720"/>
      </w:pPr>
      <w:r>
        <w:t xml:space="preserve">Thornton, T. F. 1998. </w:t>
      </w:r>
      <w:r>
        <w:rPr>
          <w:i/>
          <w:iCs/>
        </w:rPr>
        <w:t>Traditional Tlingit Use of Sitka National Historical Park</w:t>
      </w:r>
      <w:r>
        <w:t xml:space="preserve">. National Park Service, 170 </w:t>
      </w:r>
      <w:proofErr w:type="gramStart"/>
      <w:r>
        <w:t>pp</w:t>
      </w:r>
      <w:proofErr w:type="gramEnd"/>
      <w:r>
        <w:t>.</w:t>
      </w:r>
    </w:p>
    <w:p w14:paraId="69EE4FFD" w14:textId="6F4BDB86" w:rsidR="00114A77" w:rsidRDefault="00114A77" w:rsidP="00114A77">
      <w:pPr>
        <w:spacing w:line="240" w:lineRule="auto"/>
        <w:ind w:left="720" w:hanging="720"/>
      </w:pPr>
      <w:r>
        <w:t>Tillotson, M. D., T. P. Quinn. 2017. Climate and conspecific density trigger pre-spawning mortality in sockeye salmon (</w:t>
      </w:r>
      <w:r w:rsidRPr="003748D3">
        <w:rPr>
          <w:i/>
        </w:rPr>
        <w:t>Oncorhynchus nerka</w:t>
      </w:r>
      <w:r>
        <w:t xml:space="preserve">). </w:t>
      </w:r>
      <w:r>
        <w:rPr>
          <w:i/>
          <w:iCs/>
        </w:rPr>
        <w:t xml:space="preserve">Fisheries Research </w:t>
      </w:r>
      <w:r>
        <w:t>188: 138-148.</w:t>
      </w:r>
    </w:p>
    <w:p w14:paraId="371D2B1A" w14:textId="4C318469" w:rsidR="00670218" w:rsidRDefault="00114A77" w:rsidP="00114A77">
      <w:pPr>
        <w:spacing w:line="240" w:lineRule="auto"/>
        <w:ind w:left="720" w:hanging="720"/>
      </w:pPr>
      <w:r>
        <w:t xml:space="preserve">Van Alen, B. W. 2000. Status and Stewardship of Salmon Stocks in Southeast Alaska. In E. E. Knudsen, Steward, C. R., MacDonald, D. D., Williams, J. E., Reiser, D. W. </w:t>
      </w:r>
      <w:r w:rsidRPr="00613DCC">
        <w:t xml:space="preserve">Sustainable Fisheries </w:t>
      </w:r>
      <w:proofErr w:type="spellStart"/>
      <w:r w:rsidRPr="00613DCC">
        <w:t>Managemnt</w:t>
      </w:r>
      <w:proofErr w:type="spellEnd"/>
      <w:r w:rsidRPr="00613DCC">
        <w:t xml:space="preserve"> – Pacific Salmon,</w:t>
      </w:r>
      <w:r>
        <w:t xml:space="preserve"> 161-193. Lewis Publishers.</w:t>
      </w:r>
    </w:p>
    <w:sectPr w:rsidR="006702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730089"/>
    <w:multiLevelType w:val="multilevel"/>
    <w:tmpl w:val="8E8288AA"/>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218"/>
    <w:rsid w:val="00114A77"/>
    <w:rsid w:val="001E29F4"/>
    <w:rsid w:val="003C5745"/>
    <w:rsid w:val="00412816"/>
    <w:rsid w:val="005363D0"/>
    <w:rsid w:val="00614E66"/>
    <w:rsid w:val="00670218"/>
    <w:rsid w:val="008C0E5E"/>
    <w:rsid w:val="0093781E"/>
    <w:rsid w:val="00BF04BF"/>
    <w:rsid w:val="00D57B76"/>
    <w:rsid w:val="00E65279"/>
    <w:rsid w:val="00F67F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DF41C"/>
  <w15:chartTrackingRefBased/>
  <w15:docId w15:val="{B678010A-981F-4809-B461-12D6F4F9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218"/>
  </w:style>
  <w:style w:type="paragraph" w:styleId="Heading1">
    <w:name w:val="heading 1"/>
    <w:basedOn w:val="Normal"/>
    <w:next w:val="Normal"/>
    <w:link w:val="Heading1Char"/>
    <w:uiPriority w:val="9"/>
    <w:qFormat/>
    <w:rsid w:val="006702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2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2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2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2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2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2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2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2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2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2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2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2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2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2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2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2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218"/>
    <w:rPr>
      <w:rFonts w:eastAsiaTheme="majorEastAsia" w:cstheme="majorBidi"/>
      <w:color w:val="272727" w:themeColor="text1" w:themeTint="D8"/>
    </w:rPr>
  </w:style>
  <w:style w:type="paragraph" w:styleId="Title">
    <w:name w:val="Title"/>
    <w:basedOn w:val="Normal"/>
    <w:next w:val="Normal"/>
    <w:link w:val="TitleChar"/>
    <w:uiPriority w:val="10"/>
    <w:qFormat/>
    <w:rsid w:val="006702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2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2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2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218"/>
    <w:pPr>
      <w:spacing w:before="160"/>
      <w:jc w:val="center"/>
    </w:pPr>
    <w:rPr>
      <w:i/>
      <w:iCs/>
      <w:color w:val="404040" w:themeColor="text1" w:themeTint="BF"/>
    </w:rPr>
  </w:style>
  <w:style w:type="character" w:customStyle="1" w:styleId="QuoteChar">
    <w:name w:val="Quote Char"/>
    <w:basedOn w:val="DefaultParagraphFont"/>
    <w:link w:val="Quote"/>
    <w:uiPriority w:val="29"/>
    <w:rsid w:val="00670218"/>
    <w:rPr>
      <w:i/>
      <w:iCs/>
      <w:color w:val="404040" w:themeColor="text1" w:themeTint="BF"/>
    </w:rPr>
  </w:style>
  <w:style w:type="paragraph" w:styleId="ListParagraph">
    <w:name w:val="List Paragraph"/>
    <w:basedOn w:val="Normal"/>
    <w:uiPriority w:val="34"/>
    <w:qFormat/>
    <w:rsid w:val="00670218"/>
    <w:pPr>
      <w:ind w:left="720"/>
      <w:contextualSpacing/>
    </w:pPr>
  </w:style>
  <w:style w:type="character" w:styleId="IntenseEmphasis">
    <w:name w:val="Intense Emphasis"/>
    <w:basedOn w:val="DefaultParagraphFont"/>
    <w:uiPriority w:val="21"/>
    <w:qFormat/>
    <w:rsid w:val="00670218"/>
    <w:rPr>
      <w:i/>
      <w:iCs/>
      <w:color w:val="2F5496" w:themeColor="accent1" w:themeShade="BF"/>
    </w:rPr>
  </w:style>
  <w:style w:type="paragraph" w:styleId="IntenseQuote">
    <w:name w:val="Intense Quote"/>
    <w:basedOn w:val="Normal"/>
    <w:next w:val="Normal"/>
    <w:link w:val="IntenseQuoteChar"/>
    <w:uiPriority w:val="30"/>
    <w:qFormat/>
    <w:rsid w:val="006702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218"/>
    <w:rPr>
      <w:i/>
      <w:iCs/>
      <w:color w:val="2F5496" w:themeColor="accent1" w:themeShade="BF"/>
    </w:rPr>
  </w:style>
  <w:style w:type="character" w:styleId="IntenseReference">
    <w:name w:val="Intense Reference"/>
    <w:basedOn w:val="DefaultParagraphFont"/>
    <w:uiPriority w:val="32"/>
    <w:qFormat/>
    <w:rsid w:val="00670218"/>
    <w:rPr>
      <w:b/>
      <w:bCs/>
      <w:smallCaps/>
      <w:color w:val="2F5496" w:themeColor="accent1" w:themeShade="BF"/>
      <w:spacing w:val="5"/>
    </w:rPr>
  </w:style>
  <w:style w:type="character" w:customStyle="1" w:styleId="mi">
    <w:name w:val="mi"/>
    <w:basedOn w:val="DefaultParagraphFont"/>
    <w:rsid w:val="00670218"/>
  </w:style>
  <w:style w:type="character" w:styleId="Hyperlink">
    <w:name w:val="Hyperlink"/>
    <w:basedOn w:val="DefaultParagraphFont"/>
    <w:uiPriority w:val="99"/>
    <w:unhideWhenUsed/>
    <w:rsid w:val="00BF04B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www.nps.gov/sitk/index.htm%2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nps.gov/grba/learn/management/organic-act-of-1916.htm%20" TargetMode="External"/><Relationship Id="rId5" Type="http://schemas.openxmlformats.org/officeDocument/2006/relationships/image" Target="media/image1.png"/><Relationship Id="rId10" Type="http://schemas.openxmlformats.org/officeDocument/2006/relationships/hyperlink" Target="https://mtalab.adfg.alaska.gov/OTO/marking.aspx" TargetMode="External"/><Relationship Id="rId4" Type="http://schemas.openxmlformats.org/officeDocument/2006/relationships/webSettings" Target="webSettings.xml"/><Relationship Id="rId9" Type="http://schemas.openxmlformats.org/officeDocument/2006/relationships/hyperlink" Target="https://www.adfg.alaska.gov/index.cfm?adfg=commercialbyareasoutheast.salmon_research_pink"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262</TotalTime>
  <Pages>12</Pages>
  <Words>4220</Words>
  <Characters>22587</Characters>
  <Application>Microsoft Office Word</Application>
  <DocSecurity>0</DocSecurity>
  <Lines>367</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7</cp:revision>
  <dcterms:created xsi:type="dcterms:W3CDTF">2026-01-12T21:48:00Z</dcterms:created>
  <dcterms:modified xsi:type="dcterms:W3CDTF">2026-02-19T18:52:00Z</dcterms:modified>
</cp:coreProperties>
</file>