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9B900" w14:textId="6DC74243" w:rsidR="00426E23" w:rsidRDefault="00426E23" w:rsidP="00426E23">
      <w:pPr>
        <w:spacing w:after="0" w:line="480" w:lineRule="auto"/>
        <w:ind w:firstLine="720"/>
      </w:pPr>
      <w:commentRangeStart w:id="0"/>
      <w:r>
        <w:t xml:space="preserve">An assessment of whether a native species has exceeded some natural range of variation requires long term knowledge of a natural system, and determining whether such overabundance resulted from some anthropogenic intervention also requires data on otherwise comparable populations of the species that have not been exposed to the </w:t>
      </w:r>
      <w:r>
        <w:t xml:space="preserve">same </w:t>
      </w:r>
      <w:r>
        <w:t>intervention. In the case of pink salmon at Indian River, this task is made additionally complicated by the fact there two populations inhabiting the same environment (odd- and even-year runs) with potentially different life histories and characteristics.</w:t>
      </w:r>
      <w:r>
        <w:t xml:space="preserve"> My research evaluated three hypotheses to determine whether Indian River pink salmon population densities fall within a natural range of variation: </w:t>
      </w:r>
      <w:r>
        <w:t xml:space="preserve">1) </w:t>
      </w:r>
      <w:r>
        <w:t>p</w:t>
      </w:r>
      <w:r>
        <w:t>ink salmon population dynamics at Indian River are separate from those observed at ADFG index streams in the region</w:t>
      </w:r>
      <w:r>
        <w:t xml:space="preserve">, </w:t>
      </w:r>
      <w:r>
        <w:t xml:space="preserve">2) </w:t>
      </w:r>
      <w:r>
        <w:t>t</w:t>
      </w:r>
      <w:r>
        <w:t>he 1975 commencement and/or 2010 expansion of hatchery operations has had some measurable impact on Indian River pink salmon population densities</w:t>
      </w:r>
      <w:r>
        <w:t>, and</w:t>
      </w:r>
      <w:r>
        <w:t xml:space="preserve"> 3) the number of pink salmon juveniles released by SJH in brood year </w:t>
      </w:r>
      <w:r w:rsidRPr="00844F3B">
        <w:rPr>
          <w:i/>
          <w:iCs/>
        </w:rPr>
        <w:t>t-1</w:t>
      </w:r>
      <w:r>
        <w:t xml:space="preserve"> is impacting pink salmon abundance observed at Indian River in brood year </w:t>
      </w:r>
      <w:r w:rsidRPr="00844F3B">
        <w:rPr>
          <w:i/>
          <w:iCs/>
        </w:rPr>
        <w:t>t</w:t>
      </w:r>
      <w:r>
        <w:t>.</w:t>
      </w:r>
      <w:r w:rsidR="005662C7">
        <w:t xml:space="preserve"> </w:t>
      </w:r>
      <w:r w:rsidR="00C5570C">
        <w:t>E</w:t>
      </w:r>
      <w:r w:rsidR="009F5E42">
        <w:t>valuation of these hypotheses</w:t>
      </w:r>
      <w:r w:rsidR="005662C7">
        <w:t xml:space="preserve"> w</w:t>
      </w:r>
      <w:r w:rsidR="008230A8">
        <w:t xml:space="preserve">as approached </w:t>
      </w:r>
      <w:r w:rsidR="005662C7">
        <w:t xml:space="preserve">to </w:t>
      </w:r>
      <w:r w:rsidR="008230A8">
        <w:t xml:space="preserve">allow for </w:t>
      </w:r>
      <w:r w:rsidR="005662C7">
        <w:t xml:space="preserve">odd- and even- year </w:t>
      </w:r>
      <w:r w:rsidR="00C5570C">
        <w:t>pink salmon runs to</w:t>
      </w:r>
      <w:r w:rsidR="008230A8">
        <w:t xml:space="preserve"> </w:t>
      </w:r>
      <w:r w:rsidR="005662C7">
        <w:t>differ in their dynamics.</w:t>
      </w:r>
      <w:r>
        <w:t xml:space="preserve"> </w:t>
      </w:r>
      <w:commentRangeEnd w:id="0"/>
      <w:r w:rsidR="00EA4E81">
        <w:rPr>
          <w:rStyle w:val="CommentReference"/>
          <w:sz w:val="24"/>
          <w:szCs w:val="24"/>
        </w:rPr>
        <w:commentReference w:id="0"/>
      </w:r>
    </w:p>
    <w:p w14:paraId="0213130A" w14:textId="7DE686C0" w:rsidR="009F5E42" w:rsidRDefault="009F5E42" w:rsidP="00461E55">
      <w:pPr>
        <w:spacing w:after="0" w:line="480" w:lineRule="auto"/>
        <w:ind w:firstLine="720"/>
      </w:pPr>
      <w:commentRangeStart w:id="1"/>
      <w:r>
        <w:t>Across both runs</w:t>
      </w:r>
      <w:r w:rsidRPr="000F5C89">
        <w:t xml:space="preserve"> pink salmon densities observed at Indian River in recent decades are high</w:t>
      </w:r>
      <w:r>
        <w:t>er</w:t>
      </w:r>
      <w:r w:rsidRPr="000F5C89">
        <w:t xml:space="preserve"> </w:t>
      </w:r>
      <w:r>
        <w:t>than</w:t>
      </w:r>
      <w:r w:rsidRPr="000F5C89">
        <w:t xml:space="preserve"> those recorded decades ago</w:t>
      </w:r>
      <w:r>
        <w:t xml:space="preserve"> (Figure 2). The underlying state of Indian River abundances described by the best fit models is lower than the regional expectation at the outset of the time series but has largely ‘caught up’ to the regional state of pink salmon abundance in recent decades (Figure 3). </w:t>
      </w:r>
      <w:r w:rsidR="00EA4E81">
        <w:t>Some effect of the 1975 commencement and hatchery operations was observed in both runs</w:t>
      </w:r>
      <w:r w:rsidR="004669FB">
        <w:t xml:space="preserve">, with </w:t>
      </w:r>
      <w:r w:rsidR="004669FB">
        <w:t xml:space="preserve">18% of models within 2 AICc of the model of best fit specified to only include an effect of treatment at Indian River, </w:t>
      </w:r>
      <w:r w:rsidR="00EA4E81">
        <w:t xml:space="preserve">although </w:t>
      </w:r>
      <w:r w:rsidR="00EA4E81">
        <w:lastRenderedPageBreak/>
        <w:t>increased abundances in the pre- and post-treatment period seem to be predominantly driven by regional trends, as evidenced by the majority of best fit models specified to describe a single regional state</w:t>
      </w:r>
      <w:r w:rsidR="004669FB">
        <w:t xml:space="preserve">. The expansion of hatchery operations in 2010 seems to have had a more discernable impact on Indian River abundances. While the bet fit model once again is specified </w:t>
      </w:r>
      <w:r w:rsidR="004669FB">
        <w:t>to describe a single regional state</w:t>
      </w:r>
      <w:r w:rsidR="004669FB">
        <w:t xml:space="preserve">, fully 50% of models within 2 AICc of best fit </w:t>
      </w:r>
      <w:r w:rsidR="004669FB">
        <w:t>only include an effect of treatment at Indian River</w:t>
      </w:r>
      <w:r w:rsidR="00EA4E81">
        <w:t xml:space="preserve"> (Table 2). </w:t>
      </w:r>
      <w:r>
        <w:t>The effect of hatchery releases on subsequent brood year Indian River abundances was not statistically significant for either run, but in both cases a convincing majority of bootstrapped parameter estimates were positive.</w:t>
      </w:r>
      <w:r w:rsidR="001F7995">
        <w:t xml:space="preserve"> Meanwhile, the opposite effect (year </w:t>
      </w:r>
      <w:r w:rsidR="001F7995">
        <w:rPr>
          <w:i/>
          <w:iCs/>
        </w:rPr>
        <w:t>t-1</w:t>
      </w:r>
      <w:r w:rsidR="001F7995">
        <w:t xml:space="preserve"> Indian River abundances on year </w:t>
      </w:r>
      <w:r w:rsidR="001F7995">
        <w:rPr>
          <w:i/>
          <w:iCs/>
        </w:rPr>
        <w:t>t</w:t>
      </w:r>
      <w:r w:rsidR="001F7995">
        <w:t xml:space="preserve"> hatchery returns) was positive and larger for both runs (Figure 4). However, h</w:t>
      </w:r>
      <w:r>
        <w:t xml:space="preserve">atchery returns frequently exceed in-river abundances, </w:t>
      </w:r>
      <w:r w:rsidR="001F7995">
        <w:t xml:space="preserve">meaning that even if the </w:t>
      </w:r>
      <w:r>
        <w:t>effect of hatchery releases on subsequent brood year Indian River abundances</w:t>
      </w:r>
      <w:r w:rsidR="001F7995">
        <w:t xml:space="preserve"> is smaller than its opposite counterpart</w:t>
      </w:r>
      <w:r>
        <w:t>, the overall numbers of fish straying to a non-origin site could be roughly equal or even skewed towards hatchery-born fish returning to Indian River. In those brood years where Indian River abundances exceed hatchery returns, these effect sizes imply that the following brood year will see more fish from Indian River returning to the hatchery than vice versa.</w:t>
      </w:r>
      <w:r w:rsidR="00461E55">
        <w:t xml:space="preserve"> </w:t>
      </w:r>
      <w:commentRangeEnd w:id="1"/>
      <w:r w:rsidR="00EA4E81">
        <w:rPr>
          <w:rStyle w:val="CommentReference"/>
          <w:sz w:val="24"/>
          <w:szCs w:val="24"/>
        </w:rPr>
        <w:commentReference w:id="1"/>
      </w:r>
    </w:p>
    <w:p w14:paraId="67430ECB" w14:textId="563F8A9C" w:rsidR="00EA4E81" w:rsidRDefault="00EA4E81" w:rsidP="00EA4E81">
      <w:pPr>
        <w:spacing w:after="0" w:line="480" w:lineRule="auto"/>
        <w:ind w:firstLine="720"/>
      </w:pPr>
      <w:commentRangeStart w:id="2"/>
      <w:r>
        <w:t xml:space="preserve">In even years, Indian River </w:t>
      </w:r>
      <w:r w:rsidR="004669FB">
        <w:t xml:space="preserve">pink </w:t>
      </w:r>
      <w:r>
        <w:t>salmon were within the expected range of abundance for the regi</w:t>
      </w:r>
      <w:r w:rsidR="002B3498">
        <w:t>on.</w:t>
      </w:r>
      <w:r>
        <w:t xml:space="preserve"> </w:t>
      </w:r>
      <w:r w:rsidR="002B3498">
        <w:t>Difference-in-difference e</w:t>
      </w:r>
      <w:r w:rsidR="00F01778">
        <w:t xml:space="preserve">vent studies </w:t>
      </w:r>
      <w:r w:rsidR="002B3498">
        <w:t>found</w:t>
      </w:r>
      <w:r w:rsidR="00F01778">
        <w:t xml:space="preserve"> no </w:t>
      </w:r>
      <w:r w:rsidR="002B3498">
        <w:t>separate state of Indian River</w:t>
      </w:r>
      <w:r w:rsidR="004669FB">
        <w:t xml:space="preserve"> </w:t>
      </w:r>
      <w:r w:rsidR="002B3498">
        <w:t xml:space="preserve">abundances prior to either the 1975 commencement or 2010 expansion of hatchery operations, meaning that the impact of hatchery operations on even-year runs in the post-treatment period is likely negligible </w:t>
      </w:r>
      <w:r>
        <w:t>(Table</w:t>
      </w:r>
      <w:r w:rsidR="00275ECC">
        <w:t>s 2 &amp; 3</w:t>
      </w:r>
      <w:r>
        <w:t xml:space="preserve">). Indian River abundances were </w:t>
      </w:r>
      <w:r>
        <w:lastRenderedPageBreak/>
        <w:t>estimated to have a strong positive impact on pink salmon returning to the hatchery in the subsequent brood year, while an accompanying effect of hatchery releases on subsequent brood year Indian River abundances was estimated to be positive not statistically significant (Figure 4). Even if there exists a small but positive true effect of hatchery releases on subsequent brood year Indian River abundances in even-year runs, the difference between this effect and the effect of Indian River abundances on pink salmon returning to the hatchery in the subsequent brood year is large, meaning that even-year Indian River spawners would have to vastly outnumber hatchery releases in a given year in order for a net increase in Indian River abundance due to hatchery releases to occur in the following brood year. Taken together, these results imply there is little concern that even-year pink salmon abundances fall outside their natural range of variation at Indian River and indeed seem to be contributing to hatchery returns.</w:t>
      </w:r>
      <w:commentRangeEnd w:id="2"/>
      <w:r>
        <w:rPr>
          <w:rStyle w:val="CommentReference"/>
          <w:sz w:val="24"/>
          <w:szCs w:val="24"/>
        </w:rPr>
        <w:commentReference w:id="2"/>
      </w:r>
    </w:p>
    <w:p w14:paraId="3EADC730" w14:textId="58351CD5" w:rsidR="004669FB" w:rsidRDefault="004669FB" w:rsidP="004669FB">
      <w:pPr>
        <w:spacing w:after="0" w:line="480" w:lineRule="auto"/>
        <w:ind w:firstLine="720"/>
      </w:pPr>
      <w:commentRangeStart w:id="3"/>
      <w:r>
        <w:t xml:space="preserve">In odd years, the best fit model suggests that abundances at Indian River differ significantly from what would be expected of a similar stream in the region. </w:t>
      </w:r>
      <w:r w:rsidR="00275ECC">
        <w:t>While evaluations of model fit do not explicitly indicate in what way these two states differ (greater or lesser), the model results imply that the difference may stem from Indian River abundances falling well below regional expectations for the first three or so decades of the time series (Figure 3).</w:t>
      </w:r>
      <w:r w:rsidR="001E0D34" w:rsidRPr="001E0D34">
        <w:t xml:space="preserve"> </w:t>
      </w:r>
      <w:r w:rsidR="001E0D34">
        <w:t xml:space="preserve">This </w:t>
      </w:r>
      <w:r w:rsidR="001E0D34">
        <w:t>suggest</w:t>
      </w:r>
      <w:r w:rsidR="001E0D34">
        <w:t>s</w:t>
      </w:r>
      <w:r w:rsidR="001E0D34">
        <w:t xml:space="preserve"> that SJH releases may </w:t>
      </w:r>
      <w:r w:rsidR="001E0D34">
        <w:t>i</w:t>
      </w:r>
      <w:r w:rsidR="001E0D34">
        <w:t xml:space="preserve">ndeed have bolstered in-river abundances in recent decades. </w:t>
      </w:r>
      <w:r>
        <w:t xml:space="preserve">Unlike even-year runs, </w:t>
      </w:r>
      <w:r w:rsidR="00275ECC">
        <w:t xml:space="preserve">event studies show that </w:t>
      </w:r>
      <w:r>
        <w:t>both the 19</w:t>
      </w:r>
      <w:r w:rsidR="00275ECC">
        <w:t>75</w:t>
      </w:r>
      <w:r>
        <w:t xml:space="preserve"> commencement and 2010 expansion of hatchery operations are associated with significant increases in the numbers of pink salmon at Indian River, beyond </w:t>
      </w:r>
      <w:r w:rsidR="00275ECC">
        <w:t>the increased abundances occurring</w:t>
      </w:r>
      <w:r>
        <w:t xml:space="preserve"> elsewhere in the region during those periods</w:t>
      </w:r>
      <w:r w:rsidR="00275ECC">
        <w:t xml:space="preserve"> (Tables 2 &amp; 3)</w:t>
      </w:r>
      <w:r>
        <w:t xml:space="preserve">. Like </w:t>
      </w:r>
      <w:r>
        <w:lastRenderedPageBreak/>
        <w:t xml:space="preserve">even-year runs, odd-year Indian River abundances had a significant effect on pink salmon returning to SJH in the subsequent brood year, as well as a positive effect of hatchery releases on subsequent brood year Indian River abundances that falls just short of statistical significance (Figure 4). It is worth noting that the gap between these effects is not so pronounced as in even-year runs, meaning that Indian River spawners would not have to heavily outnumber hatchery releases in a given year for a net increase in Indian River abundance due to hatchery releases to occur in the following brood year. </w:t>
      </w:r>
      <w:commentRangeEnd w:id="3"/>
      <w:r>
        <w:rPr>
          <w:rStyle w:val="CommentReference"/>
          <w:sz w:val="24"/>
          <w:szCs w:val="24"/>
        </w:rPr>
        <w:commentReference w:id="3"/>
      </w:r>
    </w:p>
    <w:p w14:paraId="7C522054" w14:textId="1A058494" w:rsidR="00AF51BB" w:rsidRDefault="00AF51BB" w:rsidP="00AF51BB">
      <w:pPr>
        <w:spacing w:after="0" w:line="480" w:lineRule="auto"/>
        <w:ind w:firstLine="720"/>
      </w:pPr>
      <w:commentRangeStart w:id="4"/>
      <w:r>
        <w:t xml:space="preserve">This work is intended to provide management at SITK with a comprehensive description of both the impacts of SJH operations and the population dynamics of pink salmon in the region. In even years, pink salmon abundances at Indian River have been comparable with those observed at index streams nearby. </w:t>
      </w:r>
      <w:r>
        <w:t>I</w:t>
      </w:r>
      <w:r>
        <w:t xml:space="preserve">ncreases in the Indian River spawning densities were within the natural range of variation. This does not invalidate concerns about hypoxia events, but interceding on behalf of Indian River’s other resident species may run contrary to the natural state of even-year pink salmon in northern Southeast Alaska. Available evidence suggests that there is likely no need for intervention to address even-year abundance. In odd years there was more compelling evidence that SJH pink salmon releases could be increasing abundances at Indian River, but they have been less important than other factors affecting pink salmon population densities in odd years, as populations have been increasing throughout the region for decades. In odd years, the effect of Indian River pink salmon abundance on hatchery returns in the subsequent brood year was lower than the effect observed in even years. If there exists some small but positive true effect of hatchery releases on subsequent brood year Indian </w:t>
      </w:r>
      <w:r>
        <w:lastRenderedPageBreak/>
        <w:t xml:space="preserve">River abundances, the difference between the magnitude of these effects in odd years would be far </w:t>
      </w:r>
      <w:r>
        <w:t xml:space="preserve">greater </w:t>
      </w:r>
      <w:r>
        <w:t xml:space="preserve">than in even-years, meaning that odd-year Indian River abundances would be more susceptible to being inflated by hatchery releases. It is possible that limiting the number of SJH pink salmon moving into Indian River to spawn in odd years may be beneficial for maintaining the wild population in the park within their natural range of variation, but this is far from conclusive, and suggests the need for more consistent </w:t>
      </w:r>
      <w:r>
        <w:t>monitoring</w:t>
      </w:r>
      <w:r>
        <w:t xml:space="preserve"> of odd-year Indian River spawners in order to more completely understand the impact of SJH releases.</w:t>
      </w:r>
      <w:commentRangeEnd w:id="4"/>
      <w:r>
        <w:rPr>
          <w:rStyle w:val="CommentReference"/>
          <w:sz w:val="24"/>
          <w:szCs w:val="24"/>
        </w:rPr>
        <w:commentReference w:id="4"/>
      </w:r>
    </w:p>
    <w:p w14:paraId="75AF35F7" w14:textId="77976094" w:rsidR="00AF51BB" w:rsidRPr="00417D81" w:rsidRDefault="00BC423D" w:rsidP="00BC423D">
      <w:pPr>
        <w:spacing w:after="0" w:line="480" w:lineRule="auto"/>
        <w:ind w:firstLine="720"/>
      </w:pPr>
      <w:commentRangeStart w:id="5"/>
      <w:r>
        <w:t>Establishing at what point a species becomes overabundant in its native range is difficult, with extant literature on the subject diverging in how this determination is made (Lemoine et al. 2016, Moore et al. 2023, Holzner et al. 2025). As in the case of Indian River pink salmon, a species is</w:t>
      </w:r>
      <w:r w:rsidRPr="00CA4BDB">
        <w:t xml:space="preserve"> </w:t>
      </w:r>
      <w:r>
        <w:t xml:space="preserve">often not recognized as overabundant in its native range until such time as it begins to threaten other inhabitants of a shared ecosystem (Beckett et al. 2022, Brown et al. 2025). There is also distinct concern about the rapid growth in population of native species as a result of anthropogenic activity (although this is not necessarily a requisite for a species to be considered such) and is primarily focused on management of native species causing harm in ecosystems rather than assessment of the point at which a species might be considered overabundant (Brown et al. 2025, McComb et al. 2026). </w:t>
      </w:r>
      <w:r w:rsidR="00AF51BB">
        <w:t xml:space="preserve">Indian River pink salmon are not dissimilar to the case of the mountain pine beetle discussed in the introduction, the proliferation of which was not unique to the impacted National Parks, but which the affected parks nevertheless were compelled to address through interventions, such as insecticide use and the culling of susceptible trees </w:t>
      </w:r>
      <w:r w:rsidR="00AF51BB">
        <w:lastRenderedPageBreak/>
        <w:t>(Frost 2009). Likewise, management at SITK may choose to address the proliferation of pink salmon at Indian River, even if it does not exceed regional expectations, to protect other resident aquatic species and the riverine ecosystem from hypoxia events.</w:t>
      </w:r>
      <w:commentRangeEnd w:id="5"/>
      <w:r w:rsidR="002349BE" w:rsidRPr="00417D81">
        <w:rPr>
          <w:rStyle w:val="CommentReference"/>
          <w:sz w:val="24"/>
          <w:szCs w:val="24"/>
        </w:rPr>
        <w:commentReference w:id="5"/>
      </w:r>
    </w:p>
    <w:p w14:paraId="4D1D6901" w14:textId="77777777" w:rsidR="00AF51BB" w:rsidRDefault="00AF51BB" w:rsidP="004669FB">
      <w:pPr>
        <w:spacing w:after="0" w:line="480" w:lineRule="auto"/>
        <w:ind w:firstLine="720"/>
      </w:pPr>
    </w:p>
    <w:p w14:paraId="70EC9219" w14:textId="77777777" w:rsidR="004669FB" w:rsidRDefault="004669FB" w:rsidP="00EA4E81">
      <w:pPr>
        <w:spacing w:after="0" w:line="480" w:lineRule="auto"/>
        <w:ind w:firstLine="720"/>
      </w:pPr>
    </w:p>
    <w:p w14:paraId="00AF7C60" w14:textId="77777777" w:rsidR="00EA4E81" w:rsidRDefault="00EA4E81" w:rsidP="00461E55">
      <w:pPr>
        <w:spacing w:after="0" w:line="480" w:lineRule="auto"/>
        <w:ind w:firstLine="720"/>
      </w:pPr>
    </w:p>
    <w:p w14:paraId="41CB72FF" w14:textId="77777777" w:rsidR="009F5E42" w:rsidRDefault="009F5E42" w:rsidP="00426E23">
      <w:pPr>
        <w:spacing w:after="0" w:line="480" w:lineRule="auto"/>
        <w:ind w:firstLine="720"/>
      </w:pPr>
    </w:p>
    <w:p w14:paraId="22997C94" w14:textId="77777777" w:rsidR="005D0B91" w:rsidRDefault="005D0B91">
      <w:r>
        <w:br w:type="page"/>
      </w:r>
    </w:p>
    <w:p w14:paraId="4C7F170E" w14:textId="583FCC9D" w:rsidR="00426E23" w:rsidRDefault="00426E23" w:rsidP="00426E23">
      <w:pPr>
        <w:spacing w:after="0" w:line="480" w:lineRule="auto"/>
        <w:ind w:firstLine="720"/>
      </w:pPr>
      <w:r>
        <w:lastRenderedPageBreak/>
        <w:t xml:space="preserve"> </w:t>
      </w:r>
      <w:commentRangeStart w:id="6"/>
      <w:r>
        <w:t xml:space="preserve">Pink salmon abundances are increasing throughout their native range, so determining whether high abundances of one population fall outside a natural range of variation requires data on the population dynamics of unaffected sites throughout the region (Ruggerone and Irvine 2018). Given their shared heritage, the proximity of the origin sites (Figure 1), and the results of prior Indian River stray surveys, it is very likely that fish from SJH entering the Indian River to spawn (and vice vera), but it is also plausible that the primary driver of increased pink salmon abundances at Indian River is not SJH releases but the same factors driving increased abundances throughout the region (Gende and Carter 2015, Ruggerone et al. 2023). </w:t>
      </w:r>
      <w:commentRangeEnd w:id="6"/>
      <w:r>
        <w:rPr>
          <w:rStyle w:val="CommentReference"/>
          <w:sz w:val="24"/>
          <w:szCs w:val="24"/>
        </w:rPr>
        <w:commentReference w:id="6"/>
      </w:r>
    </w:p>
    <w:p w14:paraId="64CADBAC" w14:textId="77777777" w:rsidR="00A46041" w:rsidRDefault="00A46041"/>
    <w:sectPr w:rsidR="00A4604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rian E McGreal" w:date="2026-07-01T15:28:00Z" w:initials="BM">
    <w:p w14:paraId="4CB5169E" w14:textId="77777777" w:rsidR="00EA4E81" w:rsidRDefault="00EA4E81" w:rsidP="00EA4E81">
      <w:pPr>
        <w:pStyle w:val="CommentText"/>
      </w:pPr>
      <w:r>
        <w:rPr>
          <w:rStyle w:val="CommentReference"/>
        </w:rPr>
        <w:annotationRef/>
      </w:r>
      <w:r>
        <w:t>Re-intro and statement of goals</w:t>
      </w:r>
    </w:p>
  </w:comment>
  <w:comment w:id="1" w:author="Brian E McGreal" w:date="2026-07-01T15:28:00Z" w:initials="BM">
    <w:p w14:paraId="77F45FDD" w14:textId="77777777" w:rsidR="00EA4E81" w:rsidRDefault="00EA4E81" w:rsidP="00EA4E81">
      <w:pPr>
        <w:pStyle w:val="CommentText"/>
      </w:pPr>
      <w:r>
        <w:rPr>
          <w:rStyle w:val="CommentReference"/>
        </w:rPr>
        <w:annotationRef/>
      </w:r>
      <w:r>
        <w:t>Findings similar across both runs</w:t>
      </w:r>
    </w:p>
  </w:comment>
  <w:comment w:id="2" w:author="Brian McGreal" w:date="2026-06-29T16:52:00Z" w:initials="BM">
    <w:p w14:paraId="129B6A20" w14:textId="77777777" w:rsidR="00EA4E81" w:rsidRDefault="00EA4E81">
      <w:pPr>
        <w:pStyle w:val="CommentText"/>
      </w:pPr>
      <w:r>
        <w:rPr>
          <w:rStyle w:val="CommentReference"/>
        </w:rPr>
        <w:annotationRef/>
      </w:r>
      <w:r>
        <w:t>Even years</w:t>
      </w:r>
    </w:p>
  </w:comment>
  <w:comment w:id="3" w:author="Brian McGreal" w:date="2026-06-29T16:52:00Z" w:initials="BM">
    <w:p w14:paraId="2BBF4AE4" w14:textId="77777777" w:rsidR="004669FB" w:rsidRDefault="004669FB">
      <w:pPr>
        <w:pStyle w:val="CommentText"/>
      </w:pPr>
      <w:r>
        <w:rPr>
          <w:rStyle w:val="CommentReference"/>
        </w:rPr>
        <w:annotationRef/>
      </w:r>
      <w:r>
        <w:t>Odd years</w:t>
      </w:r>
    </w:p>
  </w:comment>
  <w:comment w:id="4" w:author="Brian E McGreal" w:date="2026-07-01T15:52:00Z" w:initials="BM">
    <w:p w14:paraId="1BBF47DC" w14:textId="77777777" w:rsidR="00AF51BB" w:rsidRDefault="00AF51BB" w:rsidP="00AF51BB">
      <w:pPr>
        <w:pStyle w:val="CommentText"/>
      </w:pPr>
      <w:r>
        <w:rPr>
          <w:rStyle w:val="CommentReference"/>
        </w:rPr>
        <w:annotationRef/>
      </w:r>
      <w:r>
        <w:t>What does this mean for the system?</w:t>
      </w:r>
    </w:p>
  </w:comment>
  <w:comment w:id="5" w:author="Brian E McGreal" w:date="2026-07-01T15:56:00Z" w:initials="BM">
    <w:p w14:paraId="435A131E" w14:textId="77777777" w:rsidR="002349BE" w:rsidRDefault="002349BE" w:rsidP="002349BE">
      <w:pPr>
        <w:pStyle w:val="CommentText"/>
      </w:pPr>
      <w:r>
        <w:rPr>
          <w:rStyle w:val="CommentReference"/>
        </w:rPr>
        <w:annotationRef/>
      </w:r>
      <w:r>
        <w:t>Implications for overabundnat natives in general</w:t>
      </w:r>
    </w:p>
  </w:comment>
  <w:comment w:id="6" w:author="Brian McGreal" w:date="2026-06-29T16:41:00Z" w:initials="BM">
    <w:p w14:paraId="42A453B2" w14:textId="77777777" w:rsidR="00426E23" w:rsidRDefault="00426E23">
      <w:pPr>
        <w:pStyle w:val="CommentText"/>
      </w:pPr>
      <w:r>
        <w:rPr>
          <w:rStyle w:val="CommentReference"/>
        </w:rPr>
        <w:annotationRef/>
      </w:r>
      <w:r>
        <w:t>This bit sort of feels more introductory. Rephrase? Or move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B5169E" w15:done="0"/>
  <w15:commentEx w15:paraId="77F45FDD" w15:done="0"/>
  <w15:commentEx w15:paraId="129B6A20" w15:done="0"/>
  <w15:commentEx w15:paraId="2BBF4AE4" w15:done="0"/>
  <w15:commentEx w15:paraId="1BBF47DC" w15:done="0"/>
  <w15:commentEx w15:paraId="435A131E" w15:done="0"/>
  <w15:commentEx w15:paraId="42A453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801FAB" w16cex:dateUtc="2026-07-01T22:28:00Z"/>
  <w16cex:commentExtensible w16cex:durableId="37A64A7A" w16cex:dateUtc="2026-07-01T22:28:00Z"/>
  <w16cex:commentExtensible w16cex:durableId="21BBDF03" w16cex:dateUtc="2026-06-29T23:52:00Z"/>
  <w16cex:commentExtensible w16cex:durableId="14BA016A" w16cex:dateUtc="2026-06-29T23:52:00Z"/>
  <w16cex:commentExtensible w16cex:durableId="217892C8" w16cex:dateUtc="2026-07-01T22:52:00Z"/>
  <w16cex:commentExtensible w16cex:durableId="5323E278" w16cex:dateUtc="2026-07-01T22:56:00Z"/>
  <w16cex:commentExtensible w16cex:durableId="30A8AE27" w16cex:dateUtc="2026-06-29T23: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B5169E" w16cid:durableId="61801FAB"/>
  <w16cid:commentId w16cid:paraId="77F45FDD" w16cid:durableId="37A64A7A"/>
  <w16cid:commentId w16cid:paraId="129B6A20" w16cid:durableId="21BBDF03"/>
  <w16cid:commentId w16cid:paraId="2BBF4AE4" w16cid:durableId="14BA016A"/>
  <w16cid:commentId w16cid:paraId="1BBF47DC" w16cid:durableId="217892C8"/>
  <w16cid:commentId w16cid:paraId="435A131E" w16cid:durableId="5323E278"/>
  <w16cid:commentId w16cid:paraId="42A453B2" w16cid:durableId="30A8AE2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ian E McGreal">
    <w15:presenceInfo w15:providerId="AD" w15:userId="S::bmcgreal@uw.edu::500ccbb3-e957-4a38-850c-c0c2fd4a68d5"/>
  </w15:person>
  <w15:person w15:author="Brian McGreal">
    <w15:presenceInfo w15:providerId="Windows Live" w15:userId="4c81a134ebae7d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E23"/>
    <w:rsid w:val="001E0D34"/>
    <w:rsid w:val="001F7995"/>
    <w:rsid w:val="002349BE"/>
    <w:rsid w:val="00245B38"/>
    <w:rsid w:val="00275ECC"/>
    <w:rsid w:val="002B3498"/>
    <w:rsid w:val="00426E23"/>
    <w:rsid w:val="00461E55"/>
    <w:rsid w:val="004669FB"/>
    <w:rsid w:val="00494125"/>
    <w:rsid w:val="005662C7"/>
    <w:rsid w:val="005D0B91"/>
    <w:rsid w:val="008230A8"/>
    <w:rsid w:val="009F5E42"/>
    <w:rsid w:val="00A46041"/>
    <w:rsid w:val="00AF51BB"/>
    <w:rsid w:val="00BC423D"/>
    <w:rsid w:val="00C5570C"/>
    <w:rsid w:val="00EA4E81"/>
    <w:rsid w:val="00F0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B5AFE"/>
  <w15:chartTrackingRefBased/>
  <w15:docId w15:val="{FB9865F1-4676-40C6-993A-0762C164C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E23"/>
  </w:style>
  <w:style w:type="paragraph" w:styleId="Heading1">
    <w:name w:val="heading 1"/>
    <w:basedOn w:val="Normal"/>
    <w:next w:val="Normal"/>
    <w:link w:val="Heading1Char"/>
    <w:uiPriority w:val="9"/>
    <w:qFormat/>
    <w:rsid w:val="00426E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6E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6E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6E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6E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6E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E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E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E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E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6E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6E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6E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6E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6E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E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E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E23"/>
    <w:rPr>
      <w:rFonts w:eastAsiaTheme="majorEastAsia" w:cstheme="majorBidi"/>
      <w:color w:val="272727" w:themeColor="text1" w:themeTint="D8"/>
    </w:rPr>
  </w:style>
  <w:style w:type="paragraph" w:styleId="Title">
    <w:name w:val="Title"/>
    <w:basedOn w:val="Normal"/>
    <w:next w:val="Normal"/>
    <w:link w:val="TitleChar"/>
    <w:uiPriority w:val="10"/>
    <w:qFormat/>
    <w:rsid w:val="00426E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6E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6E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6E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E23"/>
    <w:pPr>
      <w:spacing w:before="160"/>
      <w:jc w:val="center"/>
    </w:pPr>
    <w:rPr>
      <w:i/>
      <w:iCs/>
      <w:color w:val="404040" w:themeColor="text1" w:themeTint="BF"/>
    </w:rPr>
  </w:style>
  <w:style w:type="character" w:customStyle="1" w:styleId="QuoteChar">
    <w:name w:val="Quote Char"/>
    <w:basedOn w:val="DefaultParagraphFont"/>
    <w:link w:val="Quote"/>
    <w:uiPriority w:val="29"/>
    <w:rsid w:val="00426E23"/>
    <w:rPr>
      <w:i/>
      <w:iCs/>
      <w:color w:val="404040" w:themeColor="text1" w:themeTint="BF"/>
    </w:rPr>
  </w:style>
  <w:style w:type="paragraph" w:styleId="ListParagraph">
    <w:name w:val="List Paragraph"/>
    <w:basedOn w:val="Normal"/>
    <w:uiPriority w:val="34"/>
    <w:qFormat/>
    <w:rsid w:val="00426E23"/>
    <w:pPr>
      <w:ind w:left="720"/>
      <w:contextualSpacing/>
    </w:pPr>
  </w:style>
  <w:style w:type="character" w:styleId="IntenseEmphasis">
    <w:name w:val="Intense Emphasis"/>
    <w:basedOn w:val="DefaultParagraphFont"/>
    <w:uiPriority w:val="21"/>
    <w:qFormat/>
    <w:rsid w:val="00426E23"/>
    <w:rPr>
      <w:i/>
      <w:iCs/>
      <w:color w:val="0F4761" w:themeColor="accent1" w:themeShade="BF"/>
    </w:rPr>
  </w:style>
  <w:style w:type="paragraph" w:styleId="IntenseQuote">
    <w:name w:val="Intense Quote"/>
    <w:basedOn w:val="Normal"/>
    <w:next w:val="Normal"/>
    <w:link w:val="IntenseQuoteChar"/>
    <w:uiPriority w:val="30"/>
    <w:qFormat/>
    <w:rsid w:val="00426E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6E23"/>
    <w:rPr>
      <w:i/>
      <w:iCs/>
      <w:color w:val="0F4761" w:themeColor="accent1" w:themeShade="BF"/>
    </w:rPr>
  </w:style>
  <w:style w:type="character" w:styleId="IntenseReference">
    <w:name w:val="Intense Reference"/>
    <w:basedOn w:val="DefaultParagraphFont"/>
    <w:uiPriority w:val="32"/>
    <w:qFormat/>
    <w:rsid w:val="00426E23"/>
    <w:rPr>
      <w:b/>
      <w:bCs/>
      <w:smallCaps/>
      <w:color w:val="0F4761" w:themeColor="accent1" w:themeShade="BF"/>
      <w:spacing w:val="5"/>
    </w:rPr>
  </w:style>
  <w:style w:type="character" w:styleId="CommentReference">
    <w:name w:val="annotation reference"/>
    <w:basedOn w:val="DefaultParagraphFont"/>
    <w:uiPriority w:val="99"/>
    <w:semiHidden/>
    <w:unhideWhenUsed/>
    <w:rsid w:val="00426E23"/>
    <w:rPr>
      <w:sz w:val="16"/>
      <w:szCs w:val="16"/>
    </w:rPr>
  </w:style>
  <w:style w:type="paragraph" w:styleId="CommentText">
    <w:name w:val="annotation text"/>
    <w:basedOn w:val="Normal"/>
    <w:link w:val="CommentTextChar"/>
    <w:uiPriority w:val="99"/>
    <w:unhideWhenUsed/>
    <w:rsid w:val="00426E23"/>
    <w:pPr>
      <w:spacing w:line="240" w:lineRule="auto"/>
    </w:pPr>
    <w:rPr>
      <w:sz w:val="20"/>
      <w:szCs w:val="20"/>
    </w:rPr>
  </w:style>
  <w:style w:type="character" w:customStyle="1" w:styleId="CommentTextChar">
    <w:name w:val="Comment Text Char"/>
    <w:basedOn w:val="DefaultParagraphFont"/>
    <w:link w:val="CommentText"/>
    <w:uiPriority w:val="99"/>
    <w:rsid w:val="00426E23"/>
    <w:rPr>
      <w:sz w:val="20"/>
      <w:szCs w:val="20"/>
    </w:rPr>
  </w:style>
  <w:style w:type="paragraph" w:styleId="CommentSubject">
    <w:name w:val="annotation subject"/>
    <w:basedOn w:val="CommentText"/>
    <w:next w:val="CommentText"/>
    <w:link w:val="CommentSubjectChar"/>
    <w:uiPriority w:val="99"/>
    <w:semiHidden/>
    <w:unhideWhenUsed/>
    <w:rsid w:val="00EA4E81"/>
    <w:rPr>
      <w:b/>
      <w:bCs/>
    </w:rPr>
  </w:style>
  <w:style w:type="character" w:customStyle="1" w:styleId="CommentSubjectChar">
    <w:name w:val="Comment Subject Char"/>
    <w:basedOn w:val="CommentTextChar"/>
    <w:link w:val="CommentSubject"/>
    <w:uiPriority w:val="99"/>
    <w:semiHidden/>
    <w:rsid w:val="00EA4E8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TotalTime>
  <Pages>7</Pages>
  <Words>1562</Words>
  <Characters>8906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E McGreal</dc:creator>
  <cp:keywords/>
  <dc:description/>
  <cp:lastModifiedBy>Brian E McGreal</cp:lastModifiedBy>
  <cp:revision>9</cp:revision>
  <dcterms:created xsi:type="dcterms:W3CDTF">2026-07-01T20:33:00Z</dcterms:created>
  <dcterms:modified xsi:type="dcterms:W3CDTF">2026-07-01T22:56:00Z</dcterms:modified>
</cp:coreProperties>
</file>