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C9938" w14:textId="77777777" w:rsidR="009845B1" w:rsidRDefault="009845B1" w:rsidP="009845B1">
      <w:pPr>
        <w:suppressLineNumbers/>
        <w:spacing w:after="0" w:line="240" w:lineRule="auto"/>
      </w:pPr>
      <w:bookmarkStart w:id="0" w:name="_Hlk201667573"/>
      <w:r>
        <w:t>Hyperabundance of a native species: Pink Salmon in Sitka National Historical Park</w:t>
      </w:r>
    </w:p>
    <w:p w14:paraId="4B9ED1D5" w14:textId="77777777" w:rsidR="009845B1" w:rsidRDefault="009845B1" w:rsidP="009845B1">
      <w:pPr>
        <w:suppressLineNumbers/>
        <w:spacing w:after="0" w:line="240" w:lineRule="auto"/>
      </w:pPr>
    </w:p>
    <w:p w14:paraId="4CC0922F" w14:textId="77777777" w:rsidR="000D67EE" w:rsidRDefault="000D67EE" w:rsidP="000D67EE">
      <w:pPr>
        <w:suppressLineNumbers/>
        <w:spacing w:after="0" w:line="240" w:lineRule="auto"/>
      </w:pPr>
      <w:r>
        <w:t>Brian McGreal</w:t>
      </w:r>
    </w:p>
    <w:p w14:paraId="12B501F3" w14:textId="77777777" w:rsidR="000D67EE" w:rsidRDefault="000D67EE" w:rsidP="000D67EE">
      <w:pPr>
        <w:suppressLineNumbers/>
        <w:spacing w:after="0" w:line="240" w:lineRule="auto"/>
      </w:pPr>
      <w:r>
        <w:t>Quantitative Ecology and Resource Management</w:t>
      </w:r>
    </w:p>
    <w:p w14:paraId="451877D5" w14:textId="77777777" w:rsidR="000D67EE" w:rsidRDefault="000D67EE" w:rsidP="000D67EE">
      <w:pPr>
        <w:suppressLineNumbers/>
        <w:spacing w:after="0" w:line="240" w:lineRule="auto"/>
      </w:pPr>
      <w:r>
        <w:t>University of Washington</w:t>
      </w:r>
    </w:p>
    <w:p w14:paraId="56B9F4D4" w14:textId="77777777" w:rsidR="000D67EE" w:rsidRDefault="000D67EE" w:rsidP="000D67EE">
      <w:pPr>
        <w:suppressLineNumbers/>
        <w:spacing w:after="0" w:line="240" w:lineRule="auto"/>
      </w:pPr>
      <w:r>
        <w:t>Seattle, WA</w:t>
      </w:r>
    </w:p>
    <w:p w14:paraId="36F249AD" w14:textId="77777777" w:rsidR="000D67EE" w:rsidRDefault="000D67EE" w:rsidP="000D67EE">
      <w:pPr>
        <w:suppressLineNumbers/>
        <w:spacing w:after="0" w:line="240" w:lineRule="auto"/>
      </w:pPr>
    </w:p>
    <w:p w14:paraId="08013177" w14:textId="64F6A4C3" w:rsidR="000D67EE" w:rsidRDefault="000D67EE" w:rsidP="000D67EE">
      <w:pPr>
        <w:suppressLineNumbers/>
        <w:spacing w:after="0" w:line="240" w:lineRule="auto"/>
      </w:pPr>
      <w:r>
        <w:t>Scott M. Gende</w:t>
      </w:r>
    </w:p>
    <w:p w14:paraId="30D35DE0" w14:textId="77777777" w:rsidR="000D67EE" w:rsidRDefault="000D67EE" w:rsidP="000D67EE">
      <w:pPr>
        <w:suppressLineNumbers/>
        <w:spacing w:after="0" w:line="240" w:lineRule="auto"/>
      </w:pPr>
      <w:r>
        <w:t>U.S. National Park Service</w:t>
      </w:r>
    </w:p>
    <w:p w14:paraId="37C52454" w14:textId="77777777" w:rsidR="000D67EE" w:rsidRDefault="000D67EE" w:rsidP="000D67EE">
      <w:pPr>
        <w:suppressLineNumbers/>
        <w:spacing w:after="0" w:line="240" w:lineRule="auto"/>
      </w:pPr>
      <w:r>
        <w:t>Alaska Regional Office</w:t>
      </w:r>
    </w:p>
    <w:p w14:paraId="210F8F12" w14:textId="77777777" w:rsidR="000D67EE" w:rsidRDefault="000D67EE" w:rsidP="000D67EE">
      <w:pPr>
        <w:suppressLineNumbers/>
        <w:spacing w:after="0" w:line="240" w:lineRule="auto"/>
      </w:pPr>
      <w:r>
        <w:t>Juneau, AK</w:t>
      </w:r>
    </w:p>
    <w:p w14:paraId="6CF0763C" w14:textId="77777777" w:rsidR="000D67EE" w:rsidRDefault="000D67EE" w:rsidP="000D67EE">
      <w:pPr>
        <w:suppressLineNumbers/>
        <w:spacing w:after="0" w:line="240" w:lineRule="auto"/>
      </w:pPr>
    </w:p>
    <w:p w14:paraId="5FF4CDB0" w14:textId="77777777" w:rsidR="000D67EE" w:rsidRDefault="000D67EE" w:rsidP="000D67EE">
      <w:pPr>
        <w:suppressLineNumbers/>
        <w:spacing w:after="0" w:line="240" w:lineRule="auto"/>
      </w:pPr>
      <w:r>
        <w:t>Mark D. Scheuerell</w:t>
      </w:r>
    </w:p>
    <w:p w14:paraId="4D83B65F" w14:textId="77777777" w:rsidR="000D67EE" w:rsidRDefault="000D67EE" w:rsidP="000D67EE">
      <w:pPr>
        <w:suppressLineNumbers/>
        <w:spacing w:after="0" w:line="240" w:lineRule="auto"/>
      </w:pPr>
      <w:r>
        <w:t>U.S. Geological Survey, Washington Cooperative Fish and Wildlife Research Unit</w:t>
      </w:r>
    </w:p>
    <w:p w14:paraId="50F847C2" w14:textId="77777777" w:rsidR="000D67EE" w:rsidRDefault="000D67EE" w:rsidP="000D67EE">
      <w:pPr>
        <w:suppressLineNumbers/>
        <w:spacing w:after="0" w:line="240" w:lineRule="auto"/>
      </w:pPr>
      <w:r>
        <w:t>School of Aquatic and Fishery Sciences</w:t>
      </w:r>
    </w:p>
    <w:p w14:paraId="5FE5B0DF" w14:textId="77777777" w:rsidR="000D67EE" w:rsidRDefault="000D67EE" w:rsidP="000D67EE">
      <w:pPr>
        <w:suppressLineNumbers/>
        <w:spacing w:after="0" w:line="240" w:lineRule="auto"/>
      </w:pPr>
      <w:r>
        <w:t>University of Washington</w:t>
      </w:r>
    </w:p>
    <w:p w14:paraId="09BF3B39" w14:textId="77777777" w:rsidR="000D67EE" w:rsidRDefault="000D67EE" w:rsidP="000D67EE">
      <w:pPr>
        <w:suppressLineNumbers/>
        <w:spacing w:after="0" w:line="240" w:lineRule="auto"/>
      </w:pPr>
      <w:r>
        <w:t>Seattle, WA</w:t>
      </w:r>
    </w:p>
    <w:p w14:paraId="084FB5E1" w14:textId="77777777" w:rsidR="000D67EE" w:rsidRDefault="000D67EE" w:rsidP="000D67EE">
      <w:pPr>
        <w:suppressLineNumbers/>
        <w:spacing w:after="0" w:line="240" w:lineRule="auto"/>
      </w:pPr>
    </w:p>
    <w:p w14:paraId="750126BE" w14:textId="2617E33B" w:rsidR="000D67EE" w:rsidRDefault="000D67EE" w:rsidP="000D67EE">
      <w:pPr>
        <w:suppressLineNumbers/>
        <w:spacing w:after="0" w:line="240" w:lineRule="auto"/>
      </w:pPr>
      <w:r>
        <w:t>Thomas P. Quinn</w:t>
      </w:r>
    </w:p>
    <w:p w14:paraId="48383518" w14:textId="77777777" w:rsidR="000D67EE" w:rsidRDefault="000D67EE" w:rsidP="000D67EE">
      <w:pPr>
        <w:suppressLineNumbers/>
        <w:spacing w:after="0" w:line="240" w:lineRule="auto"/>
      </w:pPr>
      <w:r>
        <w:t>School of Aquatic and Fishery Sciences</w:t>
      </w:r>
    </w:p>
    <w:p w14:paraId="2F59AD1E" w14:textId="77777777" w:rsidR="000D67EE" w:rsidRDefault="000D67EE" w:rsidP="000D67EE">
      <w:pPr>
        <w:suppressLineNumbers/>
        <w:spacing w:after="0" w:line="240" w:lineRule="auto"/>
      </w:pPr>
      <w:r>
        <w:t>University of Washington</w:t>
      </w:r>
    </w:p>
    <w:p w14:paraId="1E5311BF" w14:textId="77777777" w:rsidR="000D67EE" w:rsidRDefault="000D67EE" w:rsidP="000D67EE">
      <w:pPr>
        <w:suppressLineNumbers/>
        <w:spacing w:after="0" w:line="240" w:lineRule="auto"/>
      </w:pPr>
      <w:r>
        <w:t>Seattle, WA</w:t>
      </w:r>
    </w:p>
    <w:p w14:paraId="5C2A7C0E" w14:textId="77777777" w:rsidR="000D67EE" w:rsidRDefault="000D67EE" w:rsidP="009845B1">
      <w:pPr>
        <w:suppressLineNumbers/>
        <w:spacing w:after="0" w:line="240" w:lineRule="auto"/>
      </w:pPr>
    </w:p>
    <w:p w14:paraId="2967524D" w14:textId="77777777" w:rsidR="00762332" w:rsidRDefault="00762332" w:rsidP="00762332">
      <w:pPr>
        <w:suppressLineNumbers/>
        <w:spacing w:after="0" w:line="240" w:lineRule="auto"/>
        <w:rPr>
          <w:b/>
          <w:bCs/>
        </w:rPr>
      </w:pPr>
    </w:p>
    <w:p w14:paraId="05CB7F9F" w14:textId="77777777" w:rsidR="00762332" w:rsidRDefault="00762332" w:rsidP="00762332">
      <w:pPr>
        <w:suppressLineNumbers/>
        <w:spacing w:after="0" w:line="240" w:lineRule="auto"/>
        <w:rPr>
          <w:b/>
          <w:bCs/>
        </w:rPr>
      </w:pPr>
    </w:p>
    <w:p w14:paraId="700B1F84" w14:textId="77777777" w:rsidR="00762332" w:rsidRDefault="00762332" w:rsidP="00762332">
      <w:pPr>
        <w:suppressLineNumbers/>
        <w:spacing w:after="0" w:line="240" w:lineRule="auto"/>
        <w:rPr>
          <w:b/>
          <w:bCs/>
        </w:rPr>
      </w:pPr>
    </w:p>
    <w:p w14:paraId="221EDCBB" w14:textId="77777777" w:rsidR="00762332" w:rsidRDefault="00762332" w:rsidP="00762332">
      <w:pPr>
        <w:suppressLineNumbers/>
        <w:spacing w:after="0" w:line="240" w:lineRule="auto"/>
        <w:rPr>
          <w:b/>
          <w:bCs/>
        </w:rPr>
      </w:pPr>
    </w:p>
    <w:p w14:paraId="3CFE680E" w14:textId="77777777" w:rsidR="00762332" w:rsidRDefault="00762332" w:rsidP="00762332">
      <w:pPr>
        <w:suppressLineNumbers/>
        <w:spacing w:after="0" w:line="240" w:lineRule="auto"/>
        <w:rPr>
          <w:b/>
          <w:bCs/>
        </w:rPr>
      </w:pPr>
    </w:p>
    <w:p w14:paraId="768AA256" w14:textId="77777777" w:rsidR="00762332" w:rsidRDefault="00762332" w:rsidP="00762332">
      <w:pPr>
        <w:suppressLineNumbers/>
        <w:spacing w:after="0" w:line="240" w:lineRule="auto"/>
        <w:rPr>
          <w:b/>
          <w:bCs/>
        </w:rPr>
      </w:pPr>
    </w:p>
    <w:p w14:paraId="12A832D3" w14:textId="77777777" w:rsidR="00762332" w:rsidRDefault="00762332" w:rsidP="00762332">
      <w:pPr>
        <w:suppressLineNumbers/>
        <w:spacing w:after="0" w:line="240" w:lineRule="auto"/>
        <w:rPr>
          <w:b/>
          <w:bCs/>
        </w:rPr>
      </w:pPr>
    </w:p>
    <w:p w14:paraId="2F147261" w14:textId="77777777" w:rsidR="00762332" w:rsidRDefault="00762332" w:rsidP="00762332">
      <w:pPr>
        <w:suppressLineNumbers/>
        <w:spacing w:after="0" w:line="240" w:lineRule="auto"/>
        <w:rPr>
          <w:b/>
          <w:bCs/>
        </w:rPr>
      </w:pPr>
    </w:p>
    <w:p w14:paraId="3A06F3EC" w14:textId="4C6B41E4" w:rsidR="00762332" w:rsidRPr="00970BA1" w:rsidRDefault="00762332" w:rsidP="00762332">
      <w:pPr>
        <w:suppressLineNumbers/>
        <w:spacing w:after="0" w:line="240" w:lineRule="auto"/>
        <w:rPr>
          <w:b/>
          <w:bCs/>
        </w:rPr>
      </w:pPr>
      <w:r w:rsidRPr="00970BA1">
        <w:rPr>
          <w:b/>
          <w:bCs/>
        </w:rPr>
        <w:t xml:space="preserve">Acknowledgements </w:t>
      </w:r>
    </w:p>
    <w:p w14:paraId="37C883E5" w14:textId="77777777" w:rsidR="00762332" w:rsidRDefault="00762332" w:rsidP="00762332">
      <w:pPr>
        <w:suppressLineNumbers/>
        <w:spacing w:after="0" w:line="240" w:lineRule="auto"/>
      </w:pPr>
    </w:p>
    <w:p w14:paraId="2278CCE6" w14:textId="77777777" w:rsidR="00762332" w:rsidRDefault="00762332" w:rsidP="00762332">
      <w:pPr>
        <w:suppressLineNumbers/>
        <w:spacing w:after="0" w:line="240" w:lineRule="auto"/>
      </w:pPr>
      <w:r>
        <w:t xml:space="preserve">The work presented would not have been possible without support from Sitka National Historical Park management and biologists. Mary Miller, Olivia Magni, Jordan Tanguay, and Zachary Jones have provided substantial guidance in understanding the ecological and cultural history of the park and its neighbors. Lauren Bell, Bill Coltharp, and Haley Jenkins of the Sitka Sound Science Center have likewise offered invaluable perspectives and background regarding the history and current state of hatchery operations. Collaboration from Alaska Department of Fish and Game biologists Aaron Dupuis and Justin Priest has enabled us to compare Indian River pink salmon abundances to those seen elsewhere in the vicinity of Sitka, a vital component of this research. Finally, Sunny Jardine provided substantial expertise and guidance in the field of causal inference. This research has occurred on the ancestral homeland and with the approval of the Sitka Tribe of Alaska.  </w:t>
      </w:r>
    </w:p>
    <w:p w14:paraId="39D66C9E" w14:textId="54D45092" w:rsidR="004B0CE8" w:rsidRDefault="003818A2" w:rsidP="00E878A2">
      <w:pPr>
        <w:spacing w:after="0" w:line="240" w:lineRule="auto"/>
        <w:ind w:firstLine="720"/>
      </w:pPr>
      <w:r>
        <w:lastRenderedPageBreak/>
        <w:t xml:space="preserve">Sitka National Historical Park (SITK) is a small (45 ha) coastal park in Sitka, Alaska. Originally designated a National Monument in 1910 for the purpose of conserving the site of an 1804 battle </w:t>
      </w:r>
      <w:r w:rsidRPr="00A017CB">
        <w:rPr>
          <w:rFonts w:cstheme="minorHAnsi"/>
          <w:color w:val="202122"/>
          <w:shd w:val="clear" w:color="auto" w:fill="FFFFFF"/>
        </w:rPr>
        <w:t>between</w:t>
      </w:r>
      <w:r w:rsidR="004A6056">
        <w:rPr>
          <w:rFonts w:cstheme="minorHAnsi"/>
          <w:color w:val="202122"/>
          <w:shd w:val="clear" w:color="auto" w:fill="FFFFFF"/>
        </w:rPr>
        <w:t xml:space="preserve"> the</w:t>
      </w:r>
      <w:r w:rsidRPr="00A017CB">
        <w:rPr>
          <w:rFonts w:cstheme="minorHAnsi"/>
          <w:color w:val="202122"/>
          <w:shd w:val="clear" w:color="auto" w:fill="FFFFFF"/>
        </w:rPr>
        <w:t xml:space="preserve"> </w:t>
      </w:r>
      <w:r>
        <w:rPr>
          <w:rFonts w:cstheme="minorHAnsi"/>
          <w:color w:val="202122"/>
          <w:shd w:val="clear" w:color="auto" w:fill="FFFFFF"/>
        </w:rPr>
        <w:t xml:space="preserve">indigenous </w:t>
      </w:r>
      <w:r w:rsidRPr="00A017CB">
        <w:rPr>
          <w:rFonts w:cstheme="minorHAnsi"/>
          <w:color w:val="202122"/>
          <w:shd w:val="clear" w:color="auto" w:fill="FFFFFF"/>
        </w:rPr>
        <w:t xml:space="preserve">Tlingit </w:t>
      </w:r>
      <w:r w:rsidR="004A6056" w:rsidRPr="00A017CB">
        <w:rPr>
          <w:rFonts w:cstheme="minorHAnsi"/>
          <w:color w:val="202122"/>
          <w:shd w:val="clear" w:color="auto" w:fill="FFFFFF"/>
        </w:rPr>
        <w:t>Kiks.ádi clan</w:t>
      </w:r>
      <w:r w:rsidR="004A6056">
        <w:rPr>
          <w:rFonts w:cstheme="minorHAnsi"/>
          <w:color w:val="202122"/>
          <w:shd w:val="clear" w:color="auto" w:fill="FFFFFF"/>
        </w:rPr>
        <w:t xml:space="preserve"> </w:t>
      </w:r>
      <w:r w:rsidRPr="00A017CB">
        <w:rPr>
          <w:rFonts w:cstheme="minorHAnsi"/>
          <w:color w:val="202122"/>
          <w:shd w:val="clear" w:color="auto" w:fill="FFFFFF"/>
        </w:rPr>
        <w:t>and Russian colonizers</w:t>
      </w:r>
      <w:r>
        <w:rPr>
          <w:rFonts w:cstheme="minorHAnsi"/>
          <w:color w:val="202122"/>
          <w:shd w:val="clear" w:color="auto" w:fill="FFFFFF"/>
        </w:rPr>
        <w:t xml:space="preserve">, </w:t>
      </w:r>
      <w:r>
        <w:t>today the park is managed to</w:t>
      </w:r>
      <w:r w:rsidRPr="00A017CB">
        <w:rPr>
          <w:rFonts w:cstheme="minorHAnsi"/>
          <w:color w:val="202122"/>
          <w:shd w:val="clear" w:color="auto" w:fill="FFFFFF"/>
        </w:rPr>
        <w:t xml:space="preserve"> preserve </w:t>
      </w:r>
      <w:r>
        <w:rPr>
          <w:rFonts w:cstheme="minorHAnsi"/>
          <w:color w:val="202122"/>
          <w:shd w:val="clear" w:color="auto" w:fill="FFFFFF"/>
        </w:rPr>
        <w:t xml:space="preserve">not only the historical battleground, but </w:t>
      </w:r>
      <w:r w:rsidRPr="00A017CB">
        <w:rPr>
          <w:rFonts w:cstheme="minorHAnsi"/>
          <w:color w:val="202122"/>
          <w:shd w:val="clear" w:color="auto" w:fill="FFFFFF"/>
        </w:rPr>
        <w:t xml:space="preserve">the </w:t>
      </w:r>
      <w:r>
        <w:t>ecosystems</w:t>
      </w:r>
      <w:r w:rsidRPr="00A017CB">
        <w:rPr>
          <w:rFonts w:cstheme="minorHAnsi"/>
          <w:color w:val="202122"/>
          <w:shd w:val="clear" w:color="auto" w:fill="FFFFFF"/>
        </w:rPr>
        <w:t xml:space="preserve"> </w:t>
      </w:r>
      <w:r>
        <w:rPr>
          <w:rFonts w:cstheme="minorHAnsi"/>
          <w:color w:val="202122"/>
          <w:shd w:val="clear" w:color="auto" w:fill="FFFFFF"/>
        </w:rPr>
        <w:t xml:space="preserve">and </w:t>
      </w:r>
      <w:r w:rsidRPr="00A017CB">
        <w:rPr>
          <w:rFonts w:cstheme="minorHAnsi"/>
          <w:color w:val="202122"/>
          <w:shd w:val="clear" w:color="auto" w:fill="FFFFFF"/>
        </w:rPr>
        <w:t>natural resources present in the surrounding area</w:t>
      </w:r>
      <w:r>
        <w:rPr>
          <w:rFonts w:cstheme="minorHAnsi"/>
          <w:color w:val="202122"/>
          <w:shd w:val="clear" w:color="auto" w:fill="FFFFFF"/>
        </w:rPr>
        <w:t>. These</w:t>
      </w:r>
      <w:r>
        <w:t xml:space="preserve"> include mature spruce-hemlock forests and the</w:t>
      </w:r>
      <w:r>
        <w:rPr>
          <w:rFonts w:cstheme="minorHAnsi"/>
          <w:color w:val="202122"/>
          <w:shd w:val="clear" w:color="auto" w:fill="FFFFFF"/>
        </w:rPr>
        <w:t xml:space="preserve"> </w:t>
      </w:r>
      <w:r>
        <w:t>Indian River (</w:t>
      </w:r>
      <w:r w:rsidRPr="00A017CB">
        <w:rPr>
          <w:rFonts w:cstheme="minorHAnsi"/>
          <w:color w:val="202122"/>
          <w:u w:val="single"/>
          <w:shd w:val="clear" w:color="auto" w:fill="FFFFFF"/>
        </w:rPr>
        <w:t>K</w:t>
      </w:r>
      <w:r w:rsidRPr="00A017CB">
        <w:rPr>
          <w:rFonts w:cstheme="minorHAnsi"/>
          <w:color w:val="202122"/>
          <w:shd w:val="clear" w:color="auto" w:fill="FFFFFF"/>
        </w:rPr>
        <w:t>aasda Héen</w:t>
      </w:r>
      <w:r>
        <w:t>), the main reach and intertidal area of which fall within park boundaries</w:t>
      </w:r>
      <w:r w:rsidRPr="00A017CB">
        <w:rPr>
          <w:rFonts w:cstheme="minorHAnsi"/>
          <w:color w:val="202122"/>
          <w:shd w:val="clear" w:color="auto" w:fill="FFFFFF"/>
        </w:rPr>
        <w:t xml:space="preserve"> </w:t>
      </w:r>
      <w:r>
        <w:t>(National Park Service 2025)</w:t>
      </w:r>
      <w:r w:rsidRPr="00A017CB">
        <w:rPr>
          <w:rFonts w:cstheme="minorHAnsi"/>
          <w:color w:val="202122"/>
          <w:shd w:val="clear" w:color="auto" w:fill="FFFFFF"/>
        </w:rPr>
        <w:t>.</w:t>
      </w:r>
      <w:r>
        <w:rPr>
          <w:rFonts w:cstheme="minorHAnsi"/>
          <w:color w:val="202122"/>
          <w:shd w:val="clear" w:color="auto" w:fill="FFFFFF"/>
        </w:rPr>
        <w:t xml:space="preserve"> </w:t>
      </w:r>
      <w:r w:rsidRPr="00A017CB">
        <w:rPr>
          <w:rFonts w:cstheme="minorHAnsi"/>
          <w:color w:val="202122"/>
          <w:shd w:val="clear" w:color="auto" w:fill="FFFFFF"/>
        </w:rPr>
        <w:t>Since time immemorial</w:t>
      </w:r>
      <w:r>
        <w:rPr>
          <w:rFonts w:cstheme="minorHAnsi"/>
          <w:color w:val="202122"/>
          <w:shd w:val="clear" w:color="auto" w:fill="FFFFFF"/>
        </w:rPr>
        <w:t xml:space="preserve">, </w:t>
      </w:r>
      <w:r w:rsidRPr="00A017CB">
        <w:rPr>
          <w:rFonts w:cstheme="minorHAnsi"/>
          <w:color w:val="202122"/>
          <w:shd w:val="clear" w:color="auto" w:fill="FFFFFF"/>
        </w:rPr>
        <w:t>the Indian River has been the location of a fishing camp and harvesting site for the Kiks.ádi clan, and particularly valued for its close proximity to the clan’s winter villages, as well as for hosting runs of a variety of Pacific salmon species</w:t>
      </w:r>
      <w:r>
        <w:rPr>
          <w:rFonts w:cstheme="minorHAnsi"/>
          <w:color w:val="202122"/>
          <w:shd w:val="clear" w:color="auto" w:fill="FFFFFF"/>
        </w:rPr>
        <w:t>, of which pink salmon (</w:t>
      </w:r>
      <w:r w:rsidRPr="00A017CB">
        <w:rPr>
          <w:i/>
          <w:iCs/>
        </w:rPr>
        <w:t>Oncorhynchus</w:t>
      </w:r>
      <w:r w:rsidRPr="00A017CB">
        <w:rPr>
          <w:rFonts w:cstheme="minorHAnsi"/>
          <w:i/>
          <w:iCs/>
          <w:color w:val="202122"/>
          <w:shd w:val="clear" w:color="auto" w:fill="FFFFFF"/>
        </w:rPr>
        <w:t xml:space="preserve"> gorbuscha</w:t>
      </w:r>
      <w:r>
        <w:rPr>
          <w:rFonts w:cstheme="minorHAnsi"/>
          <w:color w:val="202122"/>
          <w:shd w:val="clear" w:color="auto" w:fill="FFFFFF"/>
        </w:rPr>
        <w:t>) are most abundant</w:t>
      </w:r>
      <w:r w:rsidRPr="00A017CB">
        <w:rPr>
          <w:rFonts w:cstheme="minorHAnsi"/>
          <w:color w:val="202122"/>
          <w:shd w:val="clear" w:color="auto" w:fill="FFFFFF"/>
        </w:rPr>
        <w:t xml:space="preserve"> (Thornton 1998). </w:t>
      </w:r>
      <w:r w:rsidR="00E678E0">
        <w:t>Pink salmon follow a strict</w:t>
      </w:r>
      <w:r w:rsidR="00E678E0">
        <w:t xml:space="preserve"> two-year life cycle</w:t>
      </w:r>
      <w:r w:rsidR="00E678E0">
        <w:t>,</w:t>
      </w:r>
      <w:r w:rsidR="00E678E0">
        <w:t xml:space="preserve"> </w:t>
      </w:r>
      <w:r w:rsidR="00E678E0" w:rsidRPr="00CD14B8">
        <w:t>lead</w:t>
      </w:r>
      <w:r w:rsidR="00E678E0">
        <w:t>ing</w:t>
      </w:r>
      <w:r w:rsidR="00E678E0" w:rsidRPr="00CD14B8">
        <w:t xml:space="preserve"> to</w:t>
      </w:r>
      <w:r w:rsidR="00E678E0">
        <w:t xml:space="preserve"> </w:t>
      </w:r>
      <w:r w:rsidR="00E678E0" w:rsidRPr="00CD14B8">
        <w:t xml:space="preserve">genetically distinct runs </w:t>
      </w:r>
      <w:r w:rsidR="00E678E0">
        <w:t xml:space="preserve">of salmon inhabiting the same stream </w:t>
      </w:r>
      <w:r w:rsidR="00E678E0" w:rsidRPr="00CD14B8">
        <w:t>in even numbered and odd numbered years</w:t>
      </w:r>
      <w:r w:rsidR="00E678E0">
        <w:t xml:space="preserve"> (Quinn 2018</w:t>
      </w:r>
      <w:r w:rsidR="00E678E0">
        <w:t xml:space="preserve">). At Indian River, </w:t>
      </w:r>
      <w:r w:rsidR="004A6056">
        <w:rPr>
          <w:rFonts w:cstheme="minorHAnsi"/>
          <w:color w:val="202122"/>
          <w:shd w:val="clear" w:color="auto" w:fill="FFFFFF"/>
        </w:rPr>
        <w:t>salmon runs have</w:t>
      </w:r>
      <w:r>
        <w:rPr>
          <w:rFonts w:cstheme="minorHAnsi"/>
          <w:color w:val="202122"/>
          <w:shd w:val="clear" w:color="auto" w:fill="FFFFFF"/>
        </w:rPr>
        <w:t xml:space="preserve"> seen dramatic increases in population density in recent decades,</w:t>
      </w:r>
      <w:r w:rsidR="004A6056">
        <w:t xml:space="preserve"> leading to concerns over</w:t>
      </w:r>
      <w:r w:rsidR="00670218">
        <w:t xml:space="preserve"> </w:t>
      </w:r>
      <w:r w:rsidR="004A6056">
        <w:t>potential hypoxia events impacting the</w:t>
      </w:r>
      <w:r w:rsidR="00670218">
        <w:t xml:space="preserve"> </w:t>
      </w:r>
      <w:r w:rsidR="004A6056">
        <w:t>river</w:t>
      </w:r>
      <w:r w:rsidR="00670218">
        <w:t>’s ability to sustain other resident fish species</w:t>
      </w:r>
    </w:p>
    <w:p w14:paraId="183C5D47" w14:textId="77777777" w:rsidR="00C06473" w:rsidRDefault="0074311A" w:rsidP="00E878A2">
      <w:pPr>
        <w:spacing w:after="0" w:line="240" w:lineRule="auto"/>
        <w:ind w:firstLine="720"/>
      </w:pPr>
      <w:r>
        <w:t>I</w:t>
      </w:r>
      <w:r w:rsidR="00670218">
        <w:t>nitial increases in Indian River pink salmon abundance observed in the 1980s coincided with the commencement of operations at Sheldon Jackson Hatchery (SJH), a pink salmon hatchery located approximately 1 km</w:t>
      </w:r>
      <w:r w:rsidR="00670218" w:rsidRPr="00CD14B8">
        <w:t xml:space="preserve"> from the mouth of </w:t>
      </w:r>
      <w:r w:rsidR="00670218" w:rsidRPr="00CF3314">
        <w:t>the Indian River</w:t>
      </w:r>
      <w:r>
        <w:t xml:space="preserve"> (Figure 1). </w:t>
      </w:r>
      <w:r w:rsidR="00B30452">
        <w:t>T</w:t>
      </w:r>
      <w:r w:rsidR="009A59EE">
        <w:t xml:space="preserve">he hatchery was </w:t>
      </w:r>
      <w:r w:rsidR="00B30452">
        <w:t xml:space="preserve">initially </w:t>
      </w:r>
      <w:r w:rsidR="009A59EE">
        <w:t xml:space="preserve">permitted to </w:t>
      </w:r>
      <w:r w:rsidR="00B30452">
        <w:t>spawn</w:t>
      </w:r>
      <w:r w:rsidR="009A59EE">
        <w:t xml:space="preserve"> 1 million pink salmon eggs each year, </w:t>
      </w:r>
      <w:r w:rsidR="00B30452">
        <w:t>but</w:t>
      </w:r>
      <w:r w:rsidR="009A59EE">
        <w:t xml:space="preserve"> that was increased </w:t>
      </w:r>
      <w:r w:rsidR="00670218">
        <w:t>to 3 million eggs</w:t>
      </w:r>
      <w:r w:rsidR="009A59EE">
        <w:t xml:space="preserve"> in 2010</w:t>
      </w:r>
      <w:r>
        <w:t xml:space="preserve"> (Stopha 2015). </w:t>
      </w:r>
      <w:r w:rsidR="00670218">
        <w:t xml:space="preserve">If all pink salmon reared </w:t>
      </w:r>
      <w:r w:rsidR="00F8072F">
        <w:t>at</w:t>
      </w:r>
      <w:r w:rsidR="00670218">
        <w:t xml:space="preserve"> the hatchery returned to the hatchery, the population dynamics of salmon in the Indian River would be unaffected</w:t>
      </w:r>
      <w:r w:rsidR="00F8072F">
        <w:t xml:space="preserve"> by hatchery operations</w:t>
      </w:r>
      <w:r w:rsidR="00670218">
        <w:t xml:space="preserve">. However, homing by salmon is </w:t>
      </w:r>
      <w:r w:rsidR="00B30452">
        <w:t>im</w:t>
      </w:r>
      <w:r w:rsidR="00670218">
        <w:t xml:space="preserve">perfect and </w:t>
      </w:r>
      <w:r w:rsidR="00B30452">
        <w:t>has adaptive value</w:t>
      </w:r>
      <w:r w:rsidR="00670218">
        <w:t xml:space="preserve"> (Quinn 2018).  Straying, whereby a juvenile salmon that was produced in one stream (or hatchery) strays into a different stream as an adult to spawn</w:t>
      </w:r>
      <w:r w:rsidR="00D47ABB">
        <w:t xml:space="preserve"> occurs</w:t>
      </w:r>
      <w:r w:rsidR="00670218">
        <w:t>,</w:t>
      </w:r>
      <w:r>
        <w:t xml:space="preserve"> and e</w:t>
      </w:r>
      <w:r w:rsidR="00670218">
        <w:t>vidence suggests that the Indian River is no exception</w:t>
      </w:r>
      <w:r>
        <w:t xml:space="preserve"> </w:t>
      </w:r>
      <w:r w:rsidR="00F8072F">
        <w:t xml:space="preserve">(Figure </w:t>
      </w:r>
      <w:r w:rsidR="00A368FA">
        <w:t>1</w:t>
      </w:r>
      <w:r w:rsidR="00F8072F">
        <w:t>)</w:t>
      </w:r>
      <w:r w:rsidR="00670218">
        <w:t>.</w:t>
      </w:r>
      <w:r w:rsidR="00A60972">
        <w:t xml:space="preserve"> </w:t>
      </w:r>
      <w:r w:rsidR="00670218">
        <w:t xml:space="preserve">Surveying efforts at Indian River have at times found stray pink salmon from Sheldon Jackson Hatchery making up one third of all individuals sampled (Gende and Carter 2015). </w:t>
      </w:r>
      <w:r w:rsidR="00A81682">
        <w:t xml:space="preserve">While the possibility that pink salmon being reared and released by Sheldon Jackson hatchery may be contributing to the high abundances of fish observed at the Indian River in recent decades cannot be ignored, it is also critical to note that these high densities may be naturally occurring phenomena (Manhard et al. 2017). </w:t>
      </w:r>
    </w:p>
    <w:p w14:paraId="25C49E2C" w14:textId="01544088" w:rsidR="00EE5693" w:rsidRDefault="00A81682" w:rsidP="00E878A2">
      <w:pPr>
        <w:spacing w:after="0" w:line="240" w:lineRule="auto"/>
        <w:ind w:firstLine="720"/>
      </w:pPr>
      <w:r>
        <w:t xml:space="preserve">The Alaska Department of Fish and Game (ADFG) conducts regular monitoring of pink salmon streams in the region for the primary purpose of managing the commercial fishery. This extensive monitoring effort provides a regional backdrop against which abundances observed at Indian River may be compared. Between 1960 and 2023, pink salmon escapement has increased throughout what ADFG designates as the ‘Northern Southeast (Outside)’ region in which the Indian River is located (Figure 2). </w:t>
      </w:r>
    </w:p>
    <w:p w14:paraId="58B8753D" w14:textId="77777777" w:rsidR="00E878A2" w:rsidRDefault="00F906F4" w:rsidP="00E878A2">
      <w:pPr>
        <w:spacing w:after="0" w:line="240" w:lineRule="auto"/>
        <w:ind w:firstLine="720"/>
      </w:pPr>
      <w:r>
        <w:t>This</w:t>
      </w:r>
      <w:r>
        <w:t xml:space="preserve"> research</w:t>
      </w:r>
      <w:r>
        <w:t xml:space="preserve"> leverages </w:t>
      </w:r>
      <w:r w:rsidR="00EE5693">
        <w:t>ADFG</w:t>
      </w:r>
      <w:r>
        <w:t xml:space="preserve"> escapement data to</w:t>
      </w:r>
      <w:r>
        <w:t xml:space="preserve"> assess whether abundances of pink salmon observed in recent decades at Indian River exist within a natural range of variation relative to pink salmon streams</w:t>
      </w:r>
      <w:r>
        <w:t xml:space="preserve"> </w:t>
      </w:r>
      <w:r>
        <w:t>elsewhere in the region, and to evaluate if and to what extent Sheldon Jackson Hatchery operations have driven increasing abundance since 1980.</w:t>
      </w:r>
      <w:r w:rsidR="00EE5693">
        <w:t xml:space="preserve"> </w:t>
      </w:r>
      <w:r w:rsidR="00E878A2">
        <w:t xml:space="preserve">This is accomplished in three steps: 1) comparing Indian River abundances to those observed elsewhere in the region, 2) observing the effect of the commencement of hatchery operations </w:t>
      </w:r>
      <w:r w:rsidR="00E878A2">
        <w:t>on Indian River abundances</w:t>
      </w:r>
      <w:r w:rsidR="00E878A2">
        <w:t xml:space="preserve">, and 3) observing the effect of annual hatchery releases on Indian River abundances. </w:t>
      </w:r>
    </w:p>
    <w:p w14:paraId="3F008B98" w14:textId="3D220298" w:rsidR="00E878A2" w:rsidRDefault="009F0245" w:rsidP="00E878A2">
      <w:pPr>
        <w:spacing w:after="0" w:line="240" w:lineRule="auto"/>
        <w:ind w:firstLine="720"/>
      </w:pPr>
      <w:r>
        <w:lastRenderedPageBreak/>
        <w:t>Separate a</w:t>
      </w:r>
      <w:r w:rsidR="00EE5693">
        <w:t xml:space="preserve">utoregressive state-space models were specified </w:t>
      </w:r>
      <w:r w:rsidR="00B60757">
        <w:t>for both odd- and even-year runs</w:t>
      </w:r>
      <w:r w:rsidR="00B60757">
        <w:t xml:space="preserve"> </w:t>
      </w:r>
      <w:r w:rsidR="00EE5693">
        <w:t>to describe Indian River pink salmon abundances</w:t>
      </w:r>
      <w:r>
        <w:t xml:space="preserve"> </w:t>
      </w:r>
      <w:r w:rsidR="00E878A2">
        <w:t>two ways: as</w:t>
      </w:r>
      <w:r w:rsidR="00EE5693">
        <w:t xml:space="preserve"> </w:t>
      </w:r>
      <w:r w:rsidR="00B60757">
        <w:t>different</w:t>
      </w:r>
      <w:r w:rsidR="00EE5693">
        <w:t xml:space="preserve"> from the wider region </w:t>
      </w:r>
      <w:r>
        <w:t xml:space="preserve">(i.e., </w:t>
      </w:r>
      <w:r w:rsidR="00EE5693">
        <w:t xml:space="preserve">being driven by hatchery releases), </w:t>
      </w:r>
      <w:r>
        <w:t xml:space="preserve">and as a part of the wider region falling within a natural range of variation. </w:t>
      </w:r>
      <w:r w:rsidR="00B60757">
        <w:t>Once</w:t>
      </w:r>
      <w:r>
        <w:t xml:space="preserve"> fit</w:t>
      </w:r>
      <w:r w:rsidR="00B60757">
        <w:t xml:space="preserve">, these models were then statistically compared to determine which scenario best fits the data </w:t>
      </w:r>
      <w:r>
        <w:t>(Figure 3).</w:t>
      </w:r>
      <w:r w:rsidR="00B60757">
        <w:t xml:space="preserve"> </w:t>
      </w:r>
      <w:r w:rsidR="002902E7">
        <w:t>While even-year pink salmon runs at Indian River seem to fall within a natural range of variation, models which treated odd-year Indian River runs as separate from the wider region fit the data significantly better.</w:t>
      </w:r>
    </w:p>
    <w:p w14:paraId="3EF5F3AE" w14:textId="216D8ADB" w:rsidR="00C12911" w:rsidRDefault="002902E7" w:rsidP="00C12911">
      <w:pPr>
        <w:spacing w:after="0" w:line="240" w:lineRule="auto"/>
        <w:ind w:firstLine="720"/>
        <w:rPr>
          <w:b/>
          <w:bCs/>
        </w:rPr>
      </w:pPr>
      <w:r>
        <w:t xml:space="preserve">The effect of hatchery operations was evaluated using </w:t>
      </w:r>
      <w:r>
        <w:t>a difference-in-difference (DD) framework. This quasi-experimental approach is designed to assess the effect of a treatment (in this case the operations of SJH) on an outcome of interest (pink salmon abundance at Indian River) and is commonly employed when evaluating the impact of an anthropogenic interventions on wild salmonid populations (Levin and Tolimieri 2001, Berejikian et al. 2025, Pearsons and Hillman 2025).</w:t>
      </w:r>
      <w:r w:rsidR="00C12911">
        <w:t xml:space="preserve"> </w:t>
      </w:r>
      <w:r w:rsidR="00C12911">
        <w:t xml:space="preserve">The commencement of SJH operations in 1980 caused a significant increase in odd-year pink salmon abundances at Indian River, but no significant effect </w:t>
      </w:r>
      <w:r w:rsidR="00C12911">
        <w:t xml:space="preserve">was estimated </w:t>
      </w:r>
      <w:r w:rsidR="00C12911">
        <w:t>for even-year runs</w:t>
      </w:r>
      <w:r w:rsidR="00C12911">
        <w:t>,</w:t>
      </w:r>
      <w:r w:rsidR="00C12911">
        <w:t xml:space="preserve"> consistent with the underlying states of pink salmon abundance estimated </w:t>
      </w:r>
      <w:r w:rsidR="00C12911">
        <w:t xml:space="preserve">using state-space </w:t>
      </w:r>
      <w:r w:rsidR="00C12911">
        <w:t>model</w:t>
      </w:r>
      <w:r w:rsidR="00C12911">
        <w:t>s</w:t>
      </w:r>
      <w:r w:rsidR="00C12911">
        <w:t xml:space="preserve"> (Figure 3). </w:t>
      </w:r>
    </w:p>
    <w:p w14:paraId="64F139B4" w14:textId="000809C5" w:rsidR="00BF0DE0" w:rsidRDefault="00326E9F" w:rsidP="00E402A1">
      <w:pPr>
        <w:spacing w:after="0" w:line="240" w:lineRule="auto"/>
        <w:ind w:firstLine="720"/>
      </w:pPr>
      <w:r>
        <w:t xml:space="preserve">Finally, </w:t>
      </w:r>
      <w:r w:rsidR="00C06473">
        <w:t>we used autoregressive models to estimate the</w:t>
      </w:r>
      <w:r>
        <w:t xml:space="preserve"> effect of </w:t>
      </w:r>
      <w:r>
        <w:t xml:space="preserve">the number of </w:t>
      </w:r>
      <w:r w:rsidR="00C06473">
        <w:t>pink salmon</w:t>
      </w:r>
      <w:r>
        <w:t xml:space="preserve"> released by the hatchery </w:t>
      </w:r>
      <w:r w:rsidR="00C06473">
        <w:t>in a given brood</w:t>
      </w:r>
      <w:r>
        <w:t xml:space="preserve"> year</w:t>
      </w:r>
      <w:r w:rsidR="00C06473">
        <w:t xml:space="preserve"> on Indian River abundances the following brood year. This effect was found to be</w:t>
      </w:r>
      <w:r w:rsidR="00C06473">
        <w:t xml:space="preserve"> positive for both even- and odd-year runs, </w:t>
      </w:r>
      <w:r w:rsidR="00C06473">
        <w:t>meaning hatchery releases are contributing to Indian River abundances</w:t>
      </w:r>
      <w:r w:rsidR="00E402A1">
        <w:t xml:space="preserve">. However, across both runs </w:t>
      </w:r>
      <w:r w:rsidR="005407BA">
        <w:t>the inverse effect was found to be positive and</w:t>
      </w:r>
      <w:r w:rsidR="00E402A1">
        <w:t xml:space="preserve"> </w:t>
      </w:r>
      <w:r w:rsidR="005407BA">
        <w:t xml:space="preserve">of greater magnitude </w:t>
      </w:r>
      <w:r w:rsidR="00BF0DE0">
        <w:t>(Figure 4)</w:t>
      </w:r>
      <w:r w:rsidR="00C06473">
        <w:t>.</w:t>
      </w:r>
      <w:r w:rsidR="00E402A1">
        <w:t xml:space="preserve"> </w:t>
      </w:r>
      <w:r w:rsidR="00D6519A">
        <w:t>H</w:t>
      </w:r>
      <w:r w:rsidR="00E402A1">
        <w:t xml:space="preserve">atchery returns </w:t>
      </w:r>
      <w:r w:rsidR="00E402A1">
        <w:t>tend to be larger</w:t>
      </w:r>
      <w:r w:rsidR="00E402A1">
        <w:t xml:space="preserve"> than Indian River abundance</w:t>
      </w:r>
      <w:r w:rsidR="00E402A1">
        <w:t>s, meaning</w:t>
      </w:r>
      <w:r w:rsidR="00E402A1">
        <w:t xml:space="preserve"> that despite the difference in effect, the overall numbers of fish straying to a non-origin site could be roughly equal or even skewed towards hatchery-born fish returning to Indian River</w:t>
      </w:r>
      <w:r w:rsidR="00E402A1">
        <w:t xml:space="preserve">. </w:t>
      </w:r>
      <w:r w:rsidR="00D6519A">
        <w:t xml:space="preserve">It is crucial to note that the gap between these effects </w:t>
      </w:r>
      <w:r w:rsidR="00D6519A">
        <w:t xml:space="preserve">is </w:t>
      </w:r>
      <w:r w:rsidR="00D6519A">
        <w:t>much smaller for</w:t>
      </w:r>
      <w:r w:rsidR="00D6519A">
        <w:t xml:space="preserve"> </w:t>
      </w:r>
      <w:r w:rsidR="00D6519A">
        <w:t>odd</w:t>
      </w:r>
      <w:r w:rsidR="00D6519A">
        <w:t>-year runs, meaning that Indian River spawners would not have to heavily outnumber hatchery releases in a given year for a net increase in Indian River abundance due to hatchery releases to occ</w:t>
      </w:r>
      <w:r w:rsidR="00D6519A">
        <w:t xml:space="preserve">ur </w:t>
      </w:r>
      <w:r w:rsidR="00D6519A">
        <w:t>the following brood year</w:t>
      </w:r>
      <w:r w:rsidR="00D6519A">
        <w:t>.</w:t>
      </w:r>
    </w:p>
    <w:p w14:paraId="153FA468" w14:textId="2CB878D2" w:rsidR="00BF0DE0" w:rsidRDefault="009A0612" w:rsidP="00D6519A">
      <w:pPr>
        <w:spacing w:after="0" w:line="240" w:lineRule="auto"/>
        <w:ind w:firstLine="720"/>
      </w:pPr>
      <w:r>
        <w:t xml:space="preserve">Establishing at what point a species becomes overabundant in its native range is difficult, with extant literature on the subject diverging in how this determination is made (Lemoine et al. 2016, Moore et al. 2023, Holzner et al. 2025). </w:t>
      </w:r>
      <w:r w:rsidR="00BF0DE0">
        <w:t xml:space="preserve">This work is intended to provide </w:t>
      </w:r>
      <w:r w:rsidR="00BF0DE0">
        <w:t xml:space="preserve">park </w:t>
      </w:r>
      <w:r w:rsidR="00BF0DE0">
        <w:t>manage</w:t>
      </w:r>
      <w:r w:rsidR="00BF0DE0">
        <w:t>rs</w:t>
      </w:r>
      <w:r w:rsidR="00BF0DE0">
        <w:t xml:space="preserve"> with a comprehensive description of both the impacts of SJH operations and the population dynamics of pink salmon in the region. In even years, pink salmon abundances at Indian River have been comparable with those observed at index streams nearby. This does not invalidate concerns about hypoxia events, but interceding on behalf of Indian River’s other resident species may run contrary to the natural state of even-year pink salmon in northern Southeast Alaska. In odd years there </w:t>
      </w:r>
      <w:r w:rsidR="00BF0DE0">
        <w:t xml:space="preserve">exists </w:t>
      </w:r>
      <w:r w:rsidR="00BF0DE0">
        <w:t xml:space="preserve">compelling evidence that SJH pink salmon releases </w:t>
      </w:r>
      <w:r w:rsidR="00BF0DE0">
        <w:t>are</w:t>
      </w:r>
      <w:r w:rsidR="00BF0DE0">
        <w:t xml:space="preserve"> increasing abundances at Indian River</w:t>
      </w:r>
      <w:r w:rsidR="00BF0DE0">
        <w:t xml:space="preserve">: </w:t>
      </w:r>
      <w:r w:rsidR="00BF0DE0">
        <w:t>best fit model suggests that abundances at Indian River differ significantly from what would be expected of a similar stream in the region</w:t>
      </w:r>
      <w:r w:rsidR="00BF0DE0">
        <w:t xml:space="preserve">, </w:t>
      </w:r>
      <w:r w:rsidR="00BF0DE0">
        <w:t xml:space="preserve">the commencement of hatchery operations </w:t>
      </w:r>
      <w:r w:rsidR="00BF0DE0">
        <w:t>is</w:t>
      </w:r>
      <w:r w:rsidR="00BF0DE0">
        <w:t xml:space="preserve"> associated with significant increases in the</w:t>
      </w:r>
      <w:r w:rsidR="00BF0DE0">
        <w:t xml:space="preserve">se runs </w:t>
      </w:r>
      <w:r w:rsidR="00BF0DE0">
        <w:t>beyond what was</w:t>
      </w:r>
      <w:r w:rsidR="00BF0DE0">
        <w:t xml:space="preserve"> seen throughout the region,</w:t>
      </w:r>
      <w:r w:rsidR="00D6519A">
        <w:t xml:space="preserve"> and a positive effect of hatchery releases on subsequent year Indian River abundances was observed. </w:t>
      </w:r>
      <w:r w:rsidR="00BF0DE0">
        <w:t>It is possible that limiting the number of SJH pink salmon moving into Indian River to spawn in odd years may be beneficial for maintaining the wild population in the park within their natural range of variation</w:t>
      </w:r>
      <w:r w:rsidR="00D6519A">
        <w:t>.</w:t>
      </w:r>
      <w:r w:rsidR="00BF0DE0">
        <w:t xml:space="preserve"> </w:t>
      </w:r>
    </w:p>
    <w:p w14:paraId="32C65233" w14:textId="6503FC41" w:rsidR="00E878A2" w:rsidRDefault="00E878A2" w:rsidP="00E402A1">
      <w:pPr>
        <w:spacing w:after="0" w:line="240" w:lineRule="auto"/>
        <w:ind w:firstLine="720"/>
      </w:pPr>
      <w:r>
        <w:br w:type="page"/>
      </w:r>
    </w:p>
    <w:p w14:paraId="5048462B" w14:textId="053BF0CE" w:rsidR="00AE794B" w:rsidRDefault="00AE794B" w:rsidP="002B7623">
      <w:pPr>
        <w:spacing w:after="0" w:line="480" w:lineRule="auto"/>
        <w:ind w:firstLine="720"/>
      </w:pPr>
    </w:p>
    <w:p w14:paraId="0EBAD861" w14:textId="3774570A" w:rsidR="00AE794B" w:rsidRDefault="00AE794B" w:rsidP="00AE794B">
      <w:pPr>
        <w:pStyle w:val="ListParagraph"/>
        <w:spacing w:after="0" w:line="240" w:lineRule="auto"/>
        <w:ind w:left="-720"/>
        <w:jc w:val="center"/>
        <w:rPr>
          <w:i/>
          <w:iCs/>
          <w:sz w:val="20"/>
          <w:szCs w:val="20"/>
        </w:rPr>
      </w:pPr>
      <w:r>
        <w:rPr>
          <w:noProof/>
        </w:rPr>
        <w:drawing>
          <wp:inline distT="0" distB="0" distL="0" distR="0" wp14:anchorId="463B0B88" wp14:editId="7FD28044">
            <wp:extent cx="5734050" cy="4314015"/>
            <wp:effectExtent l="0" t="0" r="0" b="0"/>
            <wp:docPr id="1904644809" name="Picture 1904644809" descr="The diagram illustrates the layout of Sitka National Historic Park, including visitor use areas, parking, trails, and bounda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44809" name="Picture 1904644809" descr="The diagram illustrates the layout of Sitka National Historic Park, including visitor use areas, parking, trails, and boundarie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99590" cy="4363324"/>
                    </a:xfrm>
                    <a:prstGeom prst="rect">
                      <a:avLst/>
                    </a:prstGeom>
                  </pic:spPr>
                </pic:pic>
              </a:graphicData>
            </a:graphic>
          </wp:inline>
        </w:drawing>
      </w:r>
    </w:p>
    <w:p w14:paraId="310BBCF5" w14:textId="77777777" w:rsidR="00AE794B" w:rsidRDefault="00AE794B" w:rsidP="00AE794B">
      <w:pPr>
        <w:spacing w:after="0" w:line="240" w:lineRule="auto"/>
        <w:rPr>
          <w:i/>
          <w:iCs/>
          <w:sz w:val="20"/>
          <w:szCs w:val="20"/>
        </w:rPr>
      </w:pPr>
    </w:p>
    <w:p w14:paraId="2A5CD3EE" w14:textId="77777777" w:rsidR="00AE794B" w:rsidRPr="00591EF4" w:rsidRDefault="00AE794B" w:rsidP="00AE794B">
      <w:pPr>
        <w:spacing w:after="0" w:line="240" w:lineRule="auto"/>
      </w:pPr>
      <w:r w:rsidRPr="00591EF4">
        <w:t>Figure 1: Location of Sheldon Jackson Hatchery (red star) and the mouth of the Indian River (red circle) in Sitka. The two highlighted points are approximately 1,650 ft (503m) apart. Credit: National Park Service, modified to include river mouth and hatchery location.</w:t>
      </w:r>
    </w:p>
    <w:p w14:paraId="3DF8D6EC" w14:textId="77777777" w:rsidR="00AE794B" w:rsidRDefault="00AE794B" w:rsidP="00AE794B">
      <w:pPr>
        <w:spacing w:after="0" w:line="480" w:lineRule="auto"/>
      </w:pPr>
    </w:p>
    <w:p w14:paraId="281715CF" w14:textId="60F31213" w:rsidR="00BA3C27" w:rsidRDefault="00BD7B83" w:rsidP="002D76A3">
      <w:pPr>
        <w:spacing w:after="0" w:line="480" w:lineRule="auto"/>
      </w:pPr>
      <w:r>
        <w:tab/>
      </w:r>
    </w:p>
    <w:p w14:paraId="0C43A74B" w14:textId="77777777" w:rsidR="00591EF4" w:rsidRDefault="00591EF4" w:rsidP="00970BA1">
      <w:pPr>
        <w:pStyle w:val="ListParagraph"/>
        <w:spacing w:after="0" w:line="240" w:lineRule="auto"/>
        <w:ind w:left="0"/>
        <w:jc w:val="center"/>
        <w:rPr>
          <w:i/>
          <w:iCs/>
          <w:sz w:val="20"/>
          <w:szCs w:val="20"/>
        </w:rPr>
        <w:sectPr w:rsidR="00591EF4" w:rsidSect="00C06473">
          <w:headerReference w:type="default" r:id="rId8"/>
          <w:pgSz w:w="12240" w:h="15840"/>
          <w:pgMar w:top="1440" w:right="1440" w:bottom="1440" w:left="1440" w:header="720" w:footer="720" w:gutter="0"/>
          <w:cols w:space="720"/>
          <w:docGrid w:linePitch="360"/>
        </w:sectPr>
      </w:pPr>
    </w:p>
    <w:p w14:paraId="0DA0A523" w14:textId="77777777" w:rsidR="00BA3C27" w:rsidRDefault="00BA3C27" w:rsidP="00970BA1">
      <w:pPr>
        <w:pStyle w:val="ListParagraph"/>
        <w:spacing w:after="0" w:line="240" w:lineRule="auto"/>
        <w:ind w:left="0"/>
        <w:jc w:val="center"/>
        <w:rPr>
          <w:i/>
          <w:iCs/>
          <w:sz w:val="20"/>
          <w:szCs w:val="20"/>
        </w:rPr>
      </w:pPr>
      <w:r>
        <w:rPr>
          <w:i/>
          <w:iCs/>
          <w:noProof/>
          <w:sz w:val="20"/>
          <w:szCs w:val="20"/>
        </w:rPr>
        <w:lastRenderedPageBreak/>
        <w:drawing>
          <wp:inline distT="0" distB="0" distL="0" distR="0" wp14:anchorId="36301453" wp14:editId="504FDFAE">
            <wp:extent cx="8208867" cy="3771900"/>
            <wp:effectExtent l="0" t="0" r="1905" b="0"/>
            <wp:docPr id="1568515327" name="Picture 2" descr="The diagram depicts a time series comparison of logarithmic peak escape rates per kilometer for even and odd numbers, showing trends from 1980 to 202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15327" name="Picture 2" descr="The diagram depicts a time series comparison of logarithmic peak escape rates per kilometer for even and odd numbers, showing trends from 1980 to 2020.&#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417620" cy="3867820"/>
                    </a:xfrm>
                    <a:prstGeom prst="rect">
                      <a:avLst/>
                    </a:prstGeom>
                    <a:noFill/>
                    <a:ln>
                      <a:noFill/>
                    </a:ln>
                  </pic:spPr>
                </pic:pic>
              </a:graphicData>
            </a:graphic>
          </wp:inline>
        </w:drawing>
      </w:r>
    </w:p>
    <w:p w14:paraId="66EBF03A" w14:textId="77777777" w:rsidR="00BA3C27" w:rsidRDefault="00BA3C27" w:rsidP="00BA3C27">
      <w:pPr>
        <w:spacing w:after="0" w:line="240" w:lineRule="auto"/>
        <w:rPr>
          <w:i/>
          <w:iCs/>
          <w:sz w:val="20"/>
          <w:szCs w:val="20"/>
        </w:rPr>
      </w:pPr>
    </w:p>
    <w:p w14:paraId="0353D486" w14:textId="046BC9F9" w:rsidR="00BA3C27" w:rsidRPr="00591EF4" w:rsidRDefault="00BA3C27" w:rsidP="00BA3C27">
      <w:pPr>
        <w:spacing w:after="0" w:line="240" w:lineRule="auto"/>
      </w:pPr>
      <w:r w:rsidRPr="00591EF4">
        <w:t>Figure 2: Even- and odd-year peak pink salmon escapement from 1960 to 2022 in Indian River and 35 index streams across ADFG’s designated Northern Southeast (Outside) region. Indian River counts highlighted. Spawner counts are scaled against stream length (km), then log transformed and standardized at the level of each stream.</w:t>
      </w:r>
    </w:p>
    <w:p w14:paraId="1B5D5A90" w14:textId="653E3472" w:rsidR="00591EF4" w:rsidRDefault="00591EF4">
      <w:r>
        <w:br w:type="page"/>
      </w:r>
    </w:p>
    <w:p w14:paraId="040F3000" w14:textId="77777777" w:rsidR="009F0245" w:rsidRDefault="009F0245" w:rsidP="00B42955">
      <w:pPr>
        <w:spacing w:after="0" w:line="480" w:lineRule="auto"/>
        <w:rPr>
          <w:b/>
          <w:bCs/>
          <w:u w:val="single"/>
        </w:rPr>
      </w:pPr>
      <w:bookmarkStart w:id="1" w:name="_Hlk201668133"/>
      <w:r>
        <w:rPr>
          <w:noProof/>
        </w:rPr>
        <w:lastRenderedPageBreak/>
        <w:drawing>
          <wp:inline distT="0" distB="0" distL="0" distR="0" wp14:anchorId="3E09D6E7" wp14:editId="0D01BCBB">
            <wp:extent cx="8486775" cy="4773811"/>
            <wp:effectExtent l="0" t="0" r="0" b="8255"/>
            <wp:docPr id="59002900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029008"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8499009" cy="4780693"/>
                    </a:xfrm>
                    <a:prstGeom prst="rect">
                      <a:avLst/>
                    </a:prstGeom>
                  </pic:spPr>
                </pic:pic>
              </a:graphicData>
            </a:graphic>
          </wp:inline>
        </w:drawing>
      </w:r>
    </w:p>
    <w:p w14:paraId="79F89B58" w14:textId="46D2B80A" w:rsidR="009F0245" w:rsidRPr="00591EF4" w:rsidRDefault="009F0245" w:rsidP="009F0245">
      <w:pPr>
        <w:spacing w:after="0" w:line="240" w:lineRule="auto"/>
      </w:pPr>
      <w:r w:rsidRPr="00591EF4">
        <w:t>Figure 3: MARSS model results estimating the underlying states of even- and odd-year pink salmon abundance at Indian River</w:t>
      </w:r>
      <w:r w:rsidR="00591EF4">
        <w:t xml:space="preserve">. In 3- and 4-states models, Indian River runs are </w:t>
      </w:r>
      <w:r w:rsidRPr="00591EF4">
        <w:t xml:space="preserve">highlighted in pink </w:t>
      </w:r>
      <w:r w:rsidR="00591EF4">
        <w:t xml:space="preserve">(with </w:t>
      </w:r>
      <w:r w:rsidRPr="00591EF4">
        <w:t>region</w:t>
      </w:r>
      <w:r w:rsidR="00591EF4">
        <w:t xml:space="preserve">al state of nature in </w:t>
      </w:r>
      <w:r w:rsidRPr="00591EF4">
        <w:t xml:space="preserve">grey). Abundance estimates are scaled by stream length and z-standardized at the stream level. </w:t>
      </w:r>
      <w:r w:rsidR="00591EF4">
        <w:t>‘3-state model (odd)’ which features a separate state for Indian River pink salmon in odd years is best fit with 99.83% confidence.</w:t>
      </w:r>
    </w:p>
    <w:p w14:paraId="08BE0991" w14:textId="00849945" w:rsidR="009F0245" w:rsidRDefault="009F0245" w:rsidP="009F0245">
      <w:pPr>
        <w:spacing w:after="0" w:line="240" w:lineRule="auto"/>
      </w:pPr>
      <w:r w:rsidRPr="00BC3116">
        <w:rPr>
          <w:i/>
          <w:iCs/>
          <w:sz w:val="20"/>
          <w:szCs w:val="20"/>
        </w:rPr>
        <w:t>.</w:t>
      </w:r>
    </w:p>
    <w:bookmarkEnd w:id="0"/>
    <w:bookmarkEnd w:id="1"/>
    <w:p w14:paraId="313BE356" w14:textId="77777777" w:rsidR="004D6698" w:rsidRDefault="004D6698" w:rsidP="004D6698">
      <w:pPr>
        <w:spacing w:after="0" w:line="240" w:lineRule="auto"/>
        <w:ind w:left="-720"/>
        <w:jc w:val="center"/>
        <w:rPr>
          <w:sz w:val="20"/>
          <w:szCs w:val="20"/>
        </w:rPr>
      </w:pPr>
      <w:r>
        <w:rPr>
          <w:i/>
          <w:iCs/>
          <w:noProof/>
          <w:sz w:val="20"/>
          <w:szCs w:val="20"/>
        </w:rPr>
        <w:lastRenderedPageBreak/>
        <w:drawing>
          <wp:inline distT="0" distB="0" distL="0" distR="0" wp14:anchorId="524AAB61" wp14:editId="7D901B31">
            <wp:extent cx="8247620" cy="3838575"/>
            <wp:effectExtent l="0" t="0" r="1270" b="0"/>
            <wp:docPr id="1324619098" name="Picture 6" descr="The diagram presents a statistical comparison of the effects of previous year's hatchery returns on the current year's brood counts for different species, including Indian River, with a focus on even and odd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19098" name="Picture 6" descr="The diagram presents a statistical comparison of the effects of previous year's hatchery returns on the current year's brood counts for different species, including Indian River, with a focus on even and odd year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279055" cy="3853205"/>
                    </a:xfrm>
                    <a:prstGeom prst="rect">
                      <a:avLst/>
                    </a:prstGeom>
                    <a:noFill/>
                    <a:ln>
                      <a:noFill/>
                    </a:ln>
                  </pic:spPr>
                </pic:pic>
              </a:graphicData>
            </a:graphic>
          </wp:inline>
        </w:drawing>
      </w:r>
    </w:p>
    <w:p w14:paraId="618D34C1" w14:textId="77777777" w:rsidR="004D6698" w:rsidRDefault="004D6698" w:rsidP="004D6698">
      <w:pPr>
        <w:spacing w:after="0" w:line="240" w:lineRule="auto"/>
        <w:rPr>
          <w:i/>
          <w:iCs/>
          <w:sz w:val="20"/>
          <w:szCs w:val="20"/>
        </w:rPr>
      </w:pPr>
    </w:p>
    <w:p w14:paraId="012DBA24" w14:textId="4BD5FCDC" w:rsidR="004D6698" w:rsidRPr="00591EF4" w:rsidRDefault="004D6698" w:rsidP="004D6698">
      <w:pPr>
        <w:spacing w:after="0" w:line="240" w:lineRule="auto"/>
      </w:pPr>
      <w:r w:rsidRPr="00591EF4">
        <w:t xml:space="preserve">Figure </w:t>
      </w:r>
      <w:r w:rsidR="00756C35" w:rsidRPr="00591EF4">
        <w:t>4</w:t>
      </w:r>
      <w:r w:rsidRPr="00591EF4">
        <w:t>: Estimated effect of brood year-to-brood year interactions between Indian River pink salmon runs and Sheldon Jackson Hatchery pink salmon releases</w:t>
      </w:r>
    </w:p>
    <w:p w14:paraId="1A7594FB" w14:textId="77777777" w:rsidR="00591EF4" w:rsidRDefault="00591EF4" w:rsidP="00A40D49">
      <w:pPr>
        <w:spacing w:after="0" w:line="480" w:lineRule="auto"/>
        <w:rPr>
          <w:b/>
          <w:bCs/>
          <w:u w:val="single"/>
        </w:rPr>
        <w:sectPr w:rsidR="00591EF4" w:rsidSect="00591EF4">
          <w:pgSz w:w="15840" w:h="12240" w:orient="landscape"/>
          <w:pgMar w:top="1440" w:right="1440" w:bottom="1440" w:left="1440" w:header="720" w:footer="720" w:gutter="0"/>
          <w:cols w:space="720"/>
          <w:docGrid w:linePitch="360"/>
        </w:sectPr>
      </w:pPr>
    </w:p>
    <w:p w14:paraId="1D804AAF" w14:textId="77777777" w:rsidR="000F7853" w:rsidRPr="00B81603" w:rsidRDefault="000F7853" w:rsidP="000F7853">
      <w:pPr>
        <w:spacing w:line="240" w:lineRule="auto"/>
        <w:rPr>
          <w:b/>
          <w:bCs/>
        </w:rPr>
      </w:pPr>
      <w:r w:rsidRPr="00B81603">
        <w:rPr>
          <w:b/>
          <w:bCs/>
        </w:rPr>
        <w:lastRenderedPageBreak/>
        <w:t>References</w:t>
      </w:r>
    </w:p>
    <w:p w14:paraId="631C26BB" w14:textId="5DA7B4E0" w:rsidR="00AC48BB" w:rsidRDefault="00AC48BB" w:rsidP="000F7853">
      <w:pPr>
        <w:spacing w:line="240" w:lineRule="auto"/>
        <w:ind w:left="720" w:hanging="720"/>
      </w:pPr>
      <w:r>
        <w:t xml:space="preserve">Berejikian, B. A., M. J. Malick, J. Lee-Waltermire, M. R. Downen, K. K. Shelby, R. Endicott, </w:t>
      </w:r>
      <w:r w:rsidR="00A928CA">
        <w:t>and</w:t>
      </w:r>
      <w:r>
        <w:t xml:space="preserve"> A. Batista. 2025. Conservation hatchery effects on the abundance and spawn timing of natural steelhead populations: a replicated before-after-control-impact experiment in the Hood Canal watershed. </w:t>
      </w:r>
      <w:r>
        <w:rPr>
          <w:i/>
          <w:iCs/>
        </w:rPr>
        <w:t>Canadian Journal of Fisheries and Aquatic Sciences</w:t>
      </w:r>
      <w:r>
        <w:t xml:space="preserve"> 82: 1-16.</w:t>
      </w:r>
    </w:p>
    <w:p w14:paraId="34268021" w14:textId="05D2E0FA" w:rsidR="000F7853" w:rsidRDefault="000F7853" w:rsidP="000F7853">
      <w:pPr>
        <w:spacing w:line="240" w:lineRule="auto"/>
        <w:ind w:left="720" w:hanging="720"/>
      </w:pPr>
      <w:r>
        <w:t xml:space="preserve">Gende, S. </w:t>
      </w:r>
      <w:r w:rsidR="00A928CA">
        <w:t>and</w:t>
      </w:r>
      <w:r>
        <w:t xml:space="preserve"> B. Carter. 2015. </w:t>
      </w:r>
      <w:r w:rsidRPr="00942C32">
        <w:rPr>
          <w:i/>
          <w:iCs/>
        </w:rPr>
        <w:t>Straying rates of pink salmon into the Indian River, Sitka National Historical Park. Final Report – ADF&amp;G Permit # SF2015-225.</w:t>
      </w:r>
      <w:r>
        <w:t xml:space="preserve"> National Park Service, 11 pp.</w:t>
      </w:r>
    </w:p>
    <w:p w14:paraId="2155DAD5" w14:textId="060D8402" w:rsidR="00333796" w:rsidRPr="00333796" w:rsidRDefault="00333796" w:rsidP="000F7853">
      <w:pPr>
        <w:spacing w:line="240" w:lineRule="auto"/>
        <w:ind w:left="720" w:hanging="720"/>
      </w:pPr>
      <w:r>
        <w:t xml:space="preserve">Holzner, A., N. Ruppert, K. Ilham, S. S. K. Kaburu, A. L. K. Liston, A. Fuentes, and M. F. Hansen. 2025. Threatened synanthropes depend on intact forests: a critical evaluation of Moore et al. (2023). </w:t>
      </w:r>
      <w:r>
        <w:rPr>
          <w:i/>
          <w:iCs/>
        </w:rPr>
        <w:t xml:space="preserve">Biological Reviews </w:t>
      </w:r>
      <w:r>
        <w:t>100: 1444-1451.</w:t>
      </w:r>
    </w:p>
    <w:p w14:paraId="62E8B41E" w14:textId="4F8DE225" w:rsidR="00333796" w:rsidRPr="00333796" w:rsidRDefault="00333796" w:rsidP="000F7853">
      <w:pPr>
        <w:spacing w:line="240" w:lineRule="auto"/>
        <w:ind w:left="720" w:hanging="720"/>
      </w:pPr>
      <w:r>
        <w:t xml:space="preserve">Lemoine, N. P., D. E. Burkepile, and J. D. Parker. 2016. Quantifying </w:t>
      </w:r>
      <w:r w:rsidR="000500DD">
        <w:t>d</w:t>
      </w:r>
      <w:r>
        <w:t xml:space="preserve">ifferences </w:t>
      </w:r>
      <w:r w:rsidR="000500DD">
        <w:t>b</w:t>
      </w:r>
      <w:r>
        <w:t xml:space="preserve">etween </w:t>
      </w:r>
      <w:r w:rsidR="000500DD">
        <w:t>n</w:t>
      </w:r>
      <w:r>
        <w:t xml:space="preserve">ative and </w:t>
      </w:r>
      <w:r w:rsidR="000500DD">
        <w:t>i</w:t>
      </w:r>
      <w:r>
        <w:t xml:space="preserve">ntroduced </w:t>
      </w:r>
      <w:r w:rsidR="000500DD">
        <w:t>s</w:t>
      </w:r>
      <w:r>
        <w:t xml:space="preserve">pecies. </w:t>
      </w:r>
      <w:r>
        <w:rPr>
          <w:i/>
          <w:iCs/>
        </w:rPr>
        <w:t xml:space="preserve">Trends in Ecology &amp; Evolution </w:t>
      </w:r>
      <w:r>
        <w:t>31(5): 372-381.</w:t>
      </w:r>
    </w:p>
    <w:p w14:paraId="17D8264D" w14:textId="11297FBC" w:rsidR="00734A33" w:rsidRPr="00734A33" w:rsidRDefault="00734A33" w:rsidP="000F7853">
      <w:pPr>
        <w:spacing w:line="240" w:lineRule="auto"/>
        <w:ind w:left="720" w:hanging="720"/>
      </w:pPr>
      <w:r>
        <w:t xml:space="preserve">Levin, P. S., and N. Tolimieri. 2001. Differences in the impacts of dams on the dynamics of salmon populations. </w:t>
      </w:r>
      <w:r>
        <w:rPr>
          <w:i/>
          <w:iCs/>
        </w:rPr>
        <w:t xml:space="preserve">Animal Conservation </w:t>
      </w:r>
      <w:r>
        <w:t>4(4): 291-299.</w:t>
      </w:r>
    </w:p>
    <w:p w14:paraId="45982CBB" w14:textId="0015FE0E" w:rsidR="000F7853" w:rsidRDefault="000F7853" w:rsidP="000F7853">
      <w:pPr>
        <w:spacing w:line="240" w:lineRule="auto"/>
        <w:ind w:left="720" w:hanging="720"/>
      </w:pPr>
      <w:r>
        <w:t xml:space="preserve">Manhard, C. V., J. E. Joyce, W. W. Smoker, </w:t>
      </w:r>
      <w:r w:rsidR="00A928CA">
        <w:t>and</w:t>
      </w:r>
      <w:r>
        <w:t xml:space="preserve"> A. J. Gharrett. 2017. Ecological factors influencing lifetime productivity of pink salmon (</w:t>
      </w:r>
      <w:r w:rsidRPr="00177F5D">
        <w:rPr>
          <w:i/>
          <w:iCs/>
        </w:rPr>
        <w:t>Oncorhynchus gorbuscha</w:t>
      </w:r>
      <w:r>
        <w:t xml:space="preserve">) in an Alaskan stream. </w:t>
      </w:r>
      <w:r w:rsidRPr="00BA3D67">
        <w:rPr>
          <w:i/>
          <w:iCs/>
        </w:rPr>
        <w:t>Canadian Journal of Fisheries and Aquatic Sciences</w:t>
      </w:r>
      <w:r>
        <w:t xml:space="preserve"> 74(9): 1325-1336.</w:t>
      </w:r>
    </w:p>
    <w:p w14:paraId="4E4A1E4F" w14:textId="66C01FBF" w:rsidR="000F7853" w:rsidRDefault="000F7853" w:rsidP="000F7853">
      <w:pPr>
        <w:spacing w:line="240" w:lineRule="auto"/>
        <w:ind w:left="720" w:hanging="720"/>
      </w:pPr>
      <w:r>
        <w:t xml:space="preserve">Moore, J. H., L. Gibson, Z. Amir, W. Chanthorn, A. H. Ahmad, P. A. Jansen, C. P. Mendes, M. Onuma, C. A. Peres, </w:t>
      </w:r>
      <w:r w:rsidR="00A928CA">
        <w:t xml:space="preserve">and </w:t>
      </w:r>
      <w:r>
        <w:t xml:space="preserve">M. S. Luskin. 2023. The rise of hyperabundant native generalists threatens both humans and nature. </w:t>
      </w:r>
      <w:r>
        <w:rPr>
          <w:i/>
          <w:iCs/>
        </w:rPr>
        <w:t>Biological Reviews</w:t>
      </w:r>
      <w:r>
        <w:t xml:space="preserve"> 98(5): 1829-1844.</w:t>
      </w:r>
    </w:p>
    <w:p w14:paraId="2E352D74" w14:textId="4A304A54" w:rsidR="000F7853" w:rsidRPr="00096DB2" w:rsidRDefault="000F7853" w:rsidP="000F7853">
      <w:pPr>
        <w:spacing w:line="240" w:lineRule="auto"/>
        <w:ind w:left="720" w:hanging="720"/>
        <w:rPr>
          <w:i/>
          <w:iCs/>
        </w:rPr>
      </w:pPr>
      <w:r>
        <w:t xml:space="preserve">National Park Service. 2025. Sitka National Historical Park. Available at: </w:t>
      </w:r>
      <w:hyperlink r:id="rId13" w:history="1">
        <w:r w:rsidRPr="00096DB2">
          <w:rPr>
            <w:rStyle w:val="Hyperlink"/>
          </w:rPr>
          <w:t>https://www.nps.gov/sitk/index.htm</w:t>
        </w:r>
      </w:hyperlink>
      <w:r>
        <w:t xml:space="preserve"> (accessed March 18, 2025)</w:t>
      </w:r>
      <w:r>
        <w:rPr>
          <w:i/>
          <w:iCs/>
        </w:rPr>
        <w:t xml:space="preserve"> </w:t>
      </w:r>
    </w:p>
    <w:p w14:paraId="66E9863D" w14:textId="458452A5" w:rsidR="00EF3D97" w:rsidRDefault="009A0612" w:rsidP="000F7853">
      <w:pPr>
        <w:spacing w:line="240" w:lineRule="auto"/>
        <w:ind w:left="720" w:hanging="720"/>
      </w:pPr>
      <w:r>
        <w:t>P</w:t>
      </w:r>
      <w:r w:rsidR="00EF3D97">
        <w:t xml:space="preserve">earsons, T. N., and T. W. Hillman. 2025. Costs and benefits of a multi-generation captive broodstock Chinook Salmon hatchery program. </w:t>
      </w:r>
      <w:r w:rsidR="00EF3D97">
        <w:rPr>
          <w:i/>
          <w:iCs/>
        </w:rPr>
        <w:t xml:space="preserve">North American Journal of Fisheries Management </w:t>
      </w:r>
      <w:r w:rsidR="00EF3D97">
        <w:t>45:402-419.</w:t>
      </w:r>
    </w:p>
    <w:p w14:paraId="491D9474" w14:textId="006360DB" w:rsidR="000F7853" w:rsidRDefault="000F7853" w:rsidP="000F7853">
      <w:pPr>
        <w:spacing w:line="240" w:lineRule="auto"/>
        <w:ind w:left="720" w:hanging="720"/>
      </w:pPr>
      <w:r>
        <w:t xml:space="preserve">Quinn, T. P. 2018. </w:t>
      </w:r>
      <w:r>
        <w:rPr>
          <w:i/>
          <w:iCs/>
        </w:rPr>
        <w:t>The Behavior and Ecology of Pacific Salmon and Trout, Second Edition.</w:t>
      </w:r>
      <w:r>
        <w:t xml:space="preserve"> University of Washington Press, 547 pp.</w:t>
      </w:r>
    </w:p>
    <w:p w14:paraId="2EE60909" w14:textId="11248C5C" w:rsidR="000F7853" w:rsidRPr="008776F4" w:rsidRDefault="000F7853" w:rsidP="000F7853">
      <w:pPr>
        <w:spacing w:line="240" w:lineRule="auto"/>
        <w:ind w:left="720" w:hanging="720"/>
        <w:rPr>
          <w:i/>
          <w:iCs/>
        </w:rPr>
      </w:pPr>
      <w:r>
        <w:t xml:space="preserve">Stopha, M. 2015. </w:t>
      </w:r>
      <w:r w:rsidRPr="00CA1D5B">
        <w:rPr>
          <w:i/>
          <w:iCs/>
        </w:rPr>
        <w:t xml:space="preserve">An Evaluation of the Sheldon Jackson Salmon Hatchery for Consistency with Statewide Policies and Prescribed Management Practices. </w:t>
      </w:r>
      <w:r w:rsidRPr="00CA1D5B">
        <w:t>Alaska Department of Fish and Game, Division of Commercial Fisheries,</w:t>
      </w:r>
      <w:r>
        <w:t xml:space="preserve"> 42 pp.</w:t>
      </w:r>
    </w:p>
    <w:p w14:paraId="04A20E53" w14:textId="0AE0AC1F" w:rsidR="009C2CB3" w:rsidRDefault="000F7853" w:rsidP="009A0612">
      <w:pPr>
        <w:spacing w:line="240" w:lineRule="auto"/>
        <w:ind w:left="720" w:hanging="720"/>
      </w:pPr>
      <w:r>
        <w:t xml:space="preserve">Thornton, T. F. 1998. </w:t>
      </w:r>
      <w:r>
        <w:rPr>
          <w:i/>
          <w:iCs/>
        </w:rPr>
        <w:t>Traditional Tlingit Use of Sitka National Historical Park</w:t>
      </w:r>
      <w:r>
        <w:t>. National Park Service, 170 pp.</w:t>
      </w:r>
    </w:p>
    <w:sectPr w:rsidR="009C2CB3" w:rsidSect="00C064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AD648" w14:textId="77777777" w:rsidR="006C33DC" w:rsidRDefault="006C33DC" w:rsidP="00256380">
      <w:pPr>
        <w:spacing w:after="0" w:line="240" w:lineRule="auto"/>
      </w:pPr>
      <w:r>
        <w:separator/>
      </w:r>
    </w:p>
  </w:endnote>
  <w:endnote w:type="continuationSeparator" w:id="0">
    <w:p w14:paraId="0131411E" w14:textId="77777777" w:rsidR="006C33DC" w:rsidRDefault="006C33DC" w:rsidP="002563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5E6C3" w14:textId="77777777" w:rsidR="006C33DC" w:rsidRDefault="006C33DC" w:rsidP="00256380">
      <w:pPr>
        <w:spacing w:after="0" w:line="240" w:lineRule="auto"/>
      </w:pPr>
      <w:r>
        <w:separator/>
      </w:r>
    </w:p>
  </w:footnote>
  <w:footnote w:type="continuationSeparator" w:id="0">
    <w:p w14:paraId="56AF6A71" w14:textId="77777777" w:rsidR="006C33DC" w:rsidRDefault="006C33DC" w:rsidP="002563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A47F9" w14:textId="77777777" w:rsidR="00256380" w:rsidRDefault="002563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411951"/>
    <w:multiLevelType w:val="hybridMultilevel"/>
    <w:tmpl w:val="3182B692"/>
    <w:lvl w:ilvl="0" w:tplc="24728A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C730089"/>
    <w:multiLevelType w:val="multilevel"/>
    <w:tmpl w:val="8E8288AA"/>
    <w:lvl w:ilvl="0">
      <w:start w:val="1"/>
      <w:numFmt w:val="decimal"/>
      <w:lvlText w:val="%1"/>
      <w:lvlJc w:val="left"/>
      <w:pPr>
        <w:ind w:left="360" w:hanging="36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26689554">
    <w:abstractNumId w:val="1"/>
  </w:num>
  <w:num w:numId="2" w16cid:durableId="672028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218"/>
    <w:rsid w:val="000003B7"/>
    <w:rsid w:val="00000B41"/>
    <w:rsid w:val="00025AAD"/>
    <w:rsid w:val="00044435"/>
    <w:rsid w:val="000500DD"/>
    <w:rsid w:val="000575C0"/>
    <w:rsid w:val="00060EB8"/>
    <w:rsid w:val="0006107E"/>
    <w:rsid w:val="00062BCE"/>
    <w:rsid w:val="000672D9"/>
    <w:rsid w:val="00070D06"/>
    <w:rsid w:val="00074F30"/>
    <w:rsid w:val="000800D2"/>
    <w:rsid w:val="00084844"/>
    <w:rsid w:val="00086DA1"/>
    <w:rsid w:val="00090DA1"/>
    <w:rsid w:val="00096995"/>
    <w:rsid w:val="00097C72"/>
    <w:rsid w:val="000A0753"/>
    <w:rsid w:val="000A36D5"/>
    <w:rsid w:val="000B2062"/>
    <w:rsid w:val="000B47AA"/>
    <w:rsid w:val="000C6459"/>
    <w:rsid w:val="000D21FB"/>
    <w:rsid w:val="000D3ED8"/>
    <w:rsid w:val="000D67EE"/>
    <w:rsid w:val="000E50F3"/>
    <w:rsid w:val="000E5A64"/>
    <w:rsid w:val="000F0E42"/>
    <w:rsid w:val="000F7853"/>
    <w:rsid w:val="001001CB"/>
    <w:rsid w:val="00105DEF"/>
    <w:rsid w:val="00106EE6"/>
    <w:rsid w:val="001111B6"/>
    <w:rsid w:val="00112BBF"/>
    <w:rsid w:val="00114A77"/>
    <w:rsid w:val="00115D83"/>
    <w:rsid w:val="00121CF4"/>
    <w:rsid w:val="001262D0"/>
    <w:rsid w:val="001370D1"/>
    <w:rsid w:val="00143CB9"/>
    <w:rsid w:val="001509D8"/>
    <w:rsid w:val="00186361"/>
    <w:rsid w:val="0019013C"/>
    <w:rsid w:val="00197700"/>
    <w:rsid w:val="00197BE2"/>
    <w:rsid w:val="001A405D"/>
    <w:rsid w:val="001A6AA2"/>
    <w:rsid w:val="001B7645"/>
    <w:rsid w:val="001C7DF8"/>
    <w:rsid w:val="001D457C"/>
    <w:rsid w:val="001D51EA"/>
    <w:rsid w:val="001D5683"/>
    <w:rsid w:val="001D716E"/>
    <w:rsid w:val="001E1CBF"/>
    <w:rsid w:val="001E29F4"/>
    <w:rsid w:val="001E64A8"/>
    <w:rsid w:val="001F2735"/>
    <w:rsid w:val="001F486D"/>
    <w:rsid w:val="001F6780"/>
    <w:rsid w:val="001F720C"/>
    <w:rsid w:val="001F775B"/>
    <w:rsid w:val="001F7F26"/>
    <w:rsid w:val="00205B63"/>
    <w:rsid w:val="00207CF5"/>
    <w:rsid w:val="0021501F"/>
    <w:rsid w:val="00216517"/>
    <w:rsid w:val="00223722"/>
    <w:rsid w:val="00226B01"/>
    <w:rsid w:val="002321EC"/>
    <w:rsid w:val="002321EF"/>
    <w:rsid w:val="00232D52"/>
    <w:rsid w:val="00246989"/>
    <w:rsid w:val="00252296"/>
    <w:rsid w:val="00256380"/>
    <w:rsid w:val="002657D1"/>
    <w:rsid w:val="00267F5F"/>
    <w:rsid w:val="00270CF9"/>
    <w:rsid w:val="00271A99"/>
    <w:rsid w:val="00281853"/>
    <w:rsid w:val="00282BCA"/>
    <w:rsid w:val="00283E26"/>
    <w:rsid w:val="002902E7"/>
    <w:rsid w:val="0029325E"/>
    <w:rsid w:val="002941A2"/>
    <w:rsid w:val="002A355E"/>
    <w:rsid w:val="002A4213"/>
    <w:rsid w:val="002A42C7"/>
    <w:rsid w:val="002B1614"/>
    <w:rsid w:val="002B7623"/>
    <w:rsid w:val="002D28DF"/>
    <w:rsid w:val="002D3085"/>
    <w:rsid w:val="002D6F98"/>
    <w:rsid w:val="002D76A3"/>
    <w:rsid w:val="002E34E7"/>
    <w:rsid w:val="002E43BB"/>
    <w:rsid w:val="002E58F4"/>
    <w:rsid w:val="00303024"/>
    <w:rsid w:val="003042E8"/>
    <w:rsid w:val="00305B49"/>
    <w:rsid w:val="00306AE3"/>
    <w:rsid w:val="00310948"/>
    <w:rsid w:val="00321B88"/>
    <w:rsid w:val="00326E9F"/>
    <w:rsid w:val="0033098E"/>
    <w:rsid w:val="003323B4"/>
    <w:rsid w:val="00333796"/>
    <w:rsid w:val="003361C7"/>
    <w:rsid w:val="00336763"/>
    <w:rsid w:val="00344905"/>
    <w:rsid w:val="00351AE4"/>
    <w:rsid w:val="003542B1"/>
    <w:rsid w:val="003633DB"/>
    <w:rsid w:val="0036701C"/>
    <w:rsid w:val="00367E5F"/>
    <w:rsid w:val="003762F2"/>
    <w:rsid w:val="00376A4E"/>
    <w:rsid w:val="003772FF"/>
    <w:rsid w:val="003818A2"/>
    <w:rsid w:val="00383E1E"/>
    <w:rsid w:val="00391B74"/>
    <w:rsid w:val="003A07E0"/>
    <w:rsid w:val="003A279D"/>
    <w:rsid w:val="003B19C7"/>
    <w:rsid w:val="003B4882"/>
    <w:rsid w:val="003B6985"/>
    <w:rsid w:val="003B7704"/>
    <w:rsid w:val="003C5745"/>
    <w:rsid w:val="003C6E79"/>
    <w:rsid w:val="003C77AC"/>
    <w:rsid w:val="003D1E65"/>
    <w:rsid w:val="003D5D39"/>
    <w:rsid w:val="003F0146"/>
    <w:rsid w:val="00402DA4"/>
    <w:rsid w:val="004040BD"/>
    <w:rsid w:val="0040700C"/>
    <w:rsid w:val="00412816"/>
    <w:rsid w:val="00414541"/>
    <w:rsid w:val="004217D3"/>
    <w:rsid w:val="00421CE7"/>
    <w:rsid w:val="00427DB5"/>
    <w:rsid w:val="004327DF"/>
    <w:rsid w:val="004328A6"/>
    <w:rsid w:val="00460B8F"/>
    <w:rsid w:val="00464050"/>
    <w:rsid w:val="00470F5B"/>
    <w:rsid w:val="00494B76"/>
    <w:rsid w:val="004A1DBD"/>
    <w:rsid w:val="004A6056"/>
    <w:rsid w:val="004B019B"/>
    <w:rsid w:val="004B0CE8"/>
    <w:rsid w:val="004B213C"/>
    <w:rsid w:val="004B21F9"/>
    <w:rsid w:val="004C58F2"/>
    <w:rsid w:val="004D0A93"/>
    <w:rsid w:val="004D0C78"/>
    <w:rsid w:val="004D6698"/>
    <w:rsid w:val="004F779B"/>
    <w:rsid w:val="005033DC"/>
    <w:rsid w:val="005078EE"/>
    <w:rsid w:val="00510E38"/>
    <w:rsid w:val="00513790"/>
    <w:rsid w:val="00513D95"/>
    <w:rsid w:val="005227E4"/>
    <w:rsid w:val="005306BE"/>
    <w:rsid w:val="005363D0"/>
    <w:rsid w:val="005407BA"/>
    <w:rsid w:val="005565C2"/>
    <w:rsid w:val="00556699"/>
    <w:rsid w:val="00572D2B"/>
    <w:rsid w:val="00574432"/>
    <w:rsid w:val="00576D64"/>
    <w:rsid w:val="00577064"/>
    <w:rsid w:val="005875E2"/>
    <w:rsid w:val="00591B05"/>
    <w:rsid w:val="00591EF4"/>
    <w:rsid w:val="005941E5"/>
    <w:rsid w:val="00597FAB"/>
    <w:rsid w:val="005B1667"/>
    <w:rsid w:val="005B1CFB"/>
    <w:rsid w:val="005B3082"/>
    <w:rsid w:val="005B3ACD"/>
    <w:rsid w:val="005B7404"/>
    <w:rsid w:val="005C24C4"/>
    <w:rsid w:val="005C4DB8"/>
    <w:rsid w:val="005D36E1"/>
    <w:rsid w:val="005D4C4C"/>
    <w:rsid w:val="005D5E6A"/>
    <w:rsid w:val="005E0D2D"/>
    <w:rsid w:val="005E3E9B"/>
    <w:rsid w:val="005F56EA"/>
    <w:rsid w:val="005F6F08"/>
    <w:rsid w:val="006002FE"/>
    <w:rsid w:val="00600DED"/>
    <w:rsid w:val="00601D9F"/>
    <w:rsid w:val="00603B38"/>
    <w:rsid w:val="006055F1"/>
    <w:rsid w:val="00606257"/>
    <w:rsid w:val="006068A3"/>
    <w:rsid w:val="00606949"/>
    <w:rsid w:val="006078D8"/>
    <w:rsid w:val="00612D9D"/>
    <w:rsid w:val="00614AD3"/>
    <w:rsid w:val="00614E66"/>
    <w:rsid w:val="006178EC"/>
    <w:rsid w:val="00625D54"/>
    <w:rsid w:val="00626338"/>
    <w:rsid w:val="0063158E"/>
    <w:rsid w:val="00633AFA"/>
    <w:rsid w:val="00647DF2"/>
    <w:rsid w:val="00651658"/>
    <w:rsid w:val="00654605"/>
    <w:rsid w:val="00660262"/>
    <w:rsid w:val="00666290"/>
    <w:rsid w:val="00670218"/>
    <w:rsid w:val="00672EBC"/>
    <w:rsid w:val="006745B4"/>
    <w:rsid w:val="0067541D"/>
    <w:rsid w:val="00675815"/>
    <w:rsid w:val="006827E0"/>
    <w:rsid w:val="00693FA0"/>
    <w:rsid w:val="006A0FFE"/>
    <w:rsid w:val="006B062A"/>
    <w:rsid w:val="006B1A2E"/>
    <w:rsid w:val="006B5A94"/>
    <w:rsid w:val="006C33DC"/>
    <w:rsid w:val="006C6D25"/>
    <w:rsid w:val="006D7969"/>
    <w:rsid w:val="006E0493"/>
    <w:rsid w:val="006E6B42"/>
    <w:rsid w:val="006F23FA"/>
    <w:rsid w:val="006F4BBF"/>
    <w:rsid w:val="00716B1F"/>
    <w:rsid w:val="00723599"/>
    <w:rsid w:val="00726626"/>
    <w:rsid w:val="00727829"/>
    <w:rsid w:val="00731AF8"/>
    <w:rsid w:val="00734A33"/>
    <w:rsid w:val="00735DC6"/>
    <w:rsid w:val="00737D2B"/>
    <w:rsid w:val="00740E18"/>
    <w:rsid w:val="00741B88"/>
    <w:rsid w:val="0074311A"/>
    <w:rsid w:val="00756C35"/>
    <w:rsid w:val="00762332"/>
    <w:rsid w:val="007635F3"/>
    <w:rsid w:val="0077073C"/>
    <w:rsid w:val="00771AD2"/>
    <w:rsid w:val="00773DA7"/>
    <w:rsid w:val="00774006"/>
    <w:rsid w:val="007754C9"/>
    <w:rsid w:val="00795151"/>
    <w:rsid w:val="007B0F67"/>
    <w:rsid w:val="007B2A49"/>
    <w:rsid w:val="007B368A"/>
    <w:rsid w:val="007B3A5C"/>
    <w:rsid w:val="007B55B0"/>
    <w:rsid w:val="007C003B"/>
    <w:rsid w:val="007C158F"/>
    <w:rsid w:val="007C46E2"/>
    <w:rsid w:val="007C5247"/>
    <w:rsid w:val="007D49BF"/>
    <w:rsid w:val="007D4FA0"/>
    <w:rsid w:val="007E180A"/>
    <w:rsid w:val="007E7B3F"/>
    <w:rsid w:val="007F1518"/>
    <w:rsid w:val="007F1EA9"/>
    <w:rsid w:val="007F5330"/>
    <w:rsid w:val="00802542"/>
    <w:rsid w:val="0080336B"/>
    <w:rsid w:val="00817792"/>
    <w:rsid w:val="0083685A"/>
    <w:rsid w:val="00837571"/>
    <w:rsid w:val="00852E21"/>
    <w:rsid w:val="00855FD8"/>
    <w:rsid w:val="008569FB"/>
    <w:rsid w:val="00857419"/>
    <w:rsid w:val="0086192A"/>
    <w:rsid w:val="00867E34"/>
    <w:rsid w:val="0087213E"/>
    <w:rsid w:val="0087408B"/>
    <w:rsid w:val="00874BB8"/>
    <w:rsid w:val="00875B91"/>
    <w:rsid w:val="008A7255"/>
    <w:rsid w:val="008C0B8C"/>
    <w:rsid w:val="008C0E5E"/>
    <w:rsid w:val="008C144E"/>
    <w:rsid w:val="008C3130"/>
    <w:rsid w:val="008D05BB"/>
    <w:rsid w:val="008D0E15"/>
    <w:rsid w:val="008D1BFB"/>
    <w:rsid w:val="008D3168"/>
    <w:rsid w:val="008D569E"/>
    <w:rsid w:val="008E583F"/>
    <w:rsid w:val="008E7DF4"/>
    <w:rsid w:val="008F33A8"/>
    <w:rsid w:val="0090005E"/>
    <w:rsid w:val="009056D1"/>
    <w:rsid w:val="0091309E"/>
    <w:rsid w:val="0092693F"/>
    <w:rsid w:val="00931642"/>
    <w:rsid w:val="0093424C"/>
    <w:rsid w:val="0093781E"/>
    <w:rsid w:val="00942F0B"/>
    <w:rsid w:val="009461CF"/>
    <w:rsid w:val="0096153E"/>
    <w:rsid w:val="00963BAF"/>
    <w:rsid w:val="009657C2"/>
    <w:rsid w:val="00967016"/>
    <w:rsid w:val="00970BA1"/>
    <w:rsid w:val="009721BE"/>
    <w:rsid w:val="009754D5"/>
    <w:rsid w:val="00976473"/>
    <w:rsid w:val="0097710D"/>
    <w:rsid w:val="009845B1"/>
    <w:rsid w:val="009978CD"/>
    <w:rsid w:val="009A04D0"/>
    <w:rsid w:val="009A0612"/>
    <w:rsid w:val="009A51C2"/>
    <w:rsid w:val="009A59EE"/>
    <w:rsid w:val="009B40CF"/>
    <w:rsid w:val="009B5B49"/>
    <w:rsid w:val="009B5E7A"/>
    <w:rsid w:val="009B64EB"/>
    <w:rsid w:val="009B7CF2"/>
    <w:rsid w:val="009C0B82"/>
    <w:rsid w:val="009C0C6B"/>
    <w:rsid w:val="009C2CB3"/>
    <w:rsid w:val="009D4DE7"/>
    <w:rsid w:val="009D4E1E"/>
    <w:rsid w:val="009D55B2"/>
    <w:rsid w:val="009D569C"/>
    <w:rsid w:val="009D7D33"/>
    <w:rsid w:val="009E0479"/>
    <w:rsid w:val="009E2FA4"/>
    <w:rsid w:val="009F0245"/>
    <w:rsid w:val="009F0991"/>
    <w:rsid w:val="009F1E08"/>
    <w:rsid w:val="009F3E3F"/>
    <w:rsid w:val="009F55A2"/>
    <w:rsid w:val="009F6B38"/>
    <w:rsid w:val="00A017CB"/>
    <w:rsid w:val="00A1706D"/>
    <w:rsid w:val="00A21D8D"/>
    <w:rsid w:val="00A227BE"/>
    <w:rsid w:val="00A2387C"/>
    <w:rsid w:val="00A26CD8"/>
    <w:rsid w:val="00A31219"/>
    <w:rsid w:val="00A368FA"/>
    <w:rsid w:val="00A407B8"/>
    <w:rsid w:val="00A40D49"/>
    <w:rsid w:val="00A43887"/>
    <w:rsid w:val="00A527C1"/>
    <w:rsid w:val="00A569C9"/>
    <w:rsid w:val="00A60972"/>
    <w:rsid w:val="00A6298E"/>
    <w:rsid w:val="00A64B5F"/>
    <w:rsid w:val="00A81682"/>
    <w:rsid w:val="00A91C0C"/>
    <w:rsid w:val="00A928CA"/>
    <w:rsid w:val="00A93D33"/>
    <w:rsid w:val="00AB15D6"/>
    <w:rsid w:val="00AB32D2"/>
    <w:rsid w:val="00AC4525"/>
    <w:rsid w:val="00AC48BB"/>
    <w:rsid w:val="00AC4FE1"/>
    <w:rsid w:val="00AC50CD"/>
    <w:rsid w:val="00AD445E"/>
    <w:rsid w:val="00AE03EE"/>
    <w:rsid w:val="00AE4507"/>
    <w:rsid w:val="00AE6A99"/>
    <w:rsid w:val="00AE794B"/>
    <w:rsid w:val="00AF3339"/>
    <w:rsid w:val="00AF5677"/>
    <w:rsid w:val="00B00D9B"/>
    <w:rsid w:val="00B030F4"/>
    <w:rsid w:val="00B07643"/>
    <w:rsid w:val="00B23CD2"/>
    <w:rsid w:val="00B30452"/>
    <w:rsid w:val="00B34CB3"/>
    <w:rsid w:val="00B40C10"/>
    <w:rsid w:val="00B424B2"/>
    <w:rsid w:val="00B42955"/>
    <w:rsid w:val="00B50797"/>
    <w:rsid w:val="00B60336"/>
    <w:rsid w:val="00B60757"/>
    <w:rsid w:val="00B66763"/>
    <w:rsid w:val="00B66BBC"/>
    <w:rsid w:val="00B67742"/>
    <w:rsid w:val="00B75C7F"/>
    <w:rsid w:val="00B85F4B"/>
    <w:rsid w:val="00B94D98"/>
    <w:rsid w:val="00B96F76"/>
    <w:rsid w:val="00BA3C27"/>
    <w:rsid w:val="00BA6468"/>
    <w:rsid w:val="00BB24CA"/>
    <w:rsid w:val="00BB43D3"/>
    <w:rsid w:val="00BB4FE2"/>
    <w:rsid w:val="00BC0FF4"/>
    <w:rsid w:val="00BC397A"/>
    <w:rsid w:val="00BD0856"/>
    <w:rsid w:val="00BD097A"/>
    <w:rsid w:val="00BD0AAF"/>
    <w:rsid w:val="00BD3740"/>
    <w:rsid w:val="00BD7B83"/>
    <w:rsid w:val="00BF04BF"/>
    <w:rsid w:val="00BF0DE0"/>
    <w:rsid w:val="00BF3BC2"/>
    <w:rsid w:val="00C02ADB"/>
    <w:rsid w:val="00C06473"/>
    <w:rsid w:val="00C12911"/>
    <w:rsid w:val="00C13D3C"/>
    <w:rsid w:val="00C16190"/>
    <w:rsid w:val="00C3066D"/>
    <w:rsid w:val="00C45B4E"/>
    <w:rsid w:val="00C60F0A"/>
    <w:rsid w:val="00C61B5A"/>
    <w:rsid w:val="00C64BF8"/>
    <w:rsid w:val="00C66ED1"/>
    <w:rsid w:val="00C80629"/>
    <w:rsid w:val="00C874A9"/>
    <w:rsid w:val="00C92B7C"/>
    <w:rsid w:val="00C9797F"/>
    <w:rsid w:val="00CA65D7"/>
    <w:rsid w:val="00CC7AA4"/>
    <w:rsid w:val="00CD3E62"/>
    <w:rsid w:val="00CD58A3"/>
    <w:rsid w:val="00CD66B9"/>
    <w:rsid w:val="00CE0F1A"/>
    <w:rsid w:val="00CE633A"/>
    <w:rsid w:val="00CF3ACC"/>
    <w:rsid w:val="00CF4F29"/>
    <w:rsid w:val="00CF558E"/>
    <w:rsid w:val="00D011BB"/>
    <w:rsid w:val="00D15E91"/>
    <w:rsid w:val="00D362A0"/>
    <w:rsid w:val="00D368CD"/>
    <w:rsid w:val="00D431CD"/>
    <w:rsid w:val="00D45C26"/>
    <w:rsid w:val="00D47ABB"/>
    <w:rsid w:val="00D51675"/>
    <w:rsid w:val="00D55949"/>
    <w:rsid w:val="00D55F31"/>
    <w:rsid w:val="00D56989"/>
    <w:rsid w:val="00D5785A"/>
    <w:rsid w:val="00D57B76"/>
    <w:rsid w:val="00D6519A"/>
    <w:rsid w:val="00D801ED"/>
    <w:rsid w:val="00D91F0E"/>
    <w:rsid w:val="00D92480"/>
    <w:rsid w:val="00D9784A"/>
    <w:rsid w:val="00DA3D82"/>
    <w:rsid w:val="00DA70F0"/>
    <w:rsid w:val="00DB0CE4"/>
    <w:rsid w:val="00DC2443"/>
    <w:rsid w:val="00DC67C0"/>
    <w:rsid w:val="00DD06B9"/>
    <w:rsid w:val="00DD0F99"/>
    <w:rsid w:val="00DE2128"/>
    <w:rsid w:val="00DF0566"/>
    <w:rsid w:val="00DF38BD"/>
    <w:rsid w:val="00DF7AE5"/>
    <w:rsid w:val="00E06BFE"/>
    <w:rsid w:val="00E26A22"/>
    <w:rsid w:val="00E33ABF"/>
    <w:rsid w:val="00E402A1"/>
    <w:rsid w:val="00E458B3"/>
    <w:rsid w:val="00E47684"/>
    <w:rsid w:val="00E55CCF"/>
    <w:rsid w:val="00E64ABF"/>
    <w:rsid w:val="00E65279"/>
    <w:rsid w:val="00E65F33"/>
    <w:rsid w:val="00E678E0"/>
    <w:rsid w:val="00E72B3A"/>
    <w:rsid w:val="00E73316"/>
    <w:rsid w:val="00E808CF"/>
    <w:rsid w:val="00E82478"/>
    <w:rsid w:val="00E840C6"/>
    <w:rsid w:val="00E8449A"/>
    <w:rsid w:val="00E878A2"/>
    <w:rsid w:val="00EB0251"/>
    <w:rsid w:val="00EB1DB7"/>
    <w:rsid w:val="00EC3B72"/>
    <w:rsid w:val="00ED5567"/>
    <w:rsid w:val="00ED5857"/>
    <w:rsid w:val="00ED5A07"/>
    <w:rsid w:val="00ED6470"/>
    <w:rsid w:val="00ED689D"/>
    <w:rsid w:val="00EE5693"/>
    <w:rsid w:val="00EF0488"/>
    <w:rsid w:val="00EF2ADE"/>
    <w:rsid w:val="00EF2D0F"/>
    <w:rsid w:val="00EF3D97"/>
    <w:rsid w:val="00EF4CE3"/>
    <w:rsid w:val="00F01ACB"/>
    <w:rsid w:val="00F12190"/>
    <w:rsid w:val="00F154A6"/>
    <w:rsid w:val="00F20039"/>
    <w:rsid w:val="00F21CB7"/>
    <w:rsid w:val="00F26C13"/>
    <w:rsid w:val="00F275C7"/>
    <w:rsid w:val="00F302DE"/>
    <w:rsid w:val="00F34AE7"/>
    <w:rsid w:val="00F4350E"/>
    <w:rsid w:val="00F45152"/>
    <w:rsid w:val="00F4609B"/>
    <w:rsid w:val="00F51DD2"/>
    <w:rsid w:val="00F5558B"/>
    <w:rsid w:val="00F6199D"/>
    <w:rsid w:val="00F66F22"/>
    <w:rsid w:val="00F67FB5"/>
    <w:rsid w:val="00F8028C"/>
    <w:rsid w:val="00F8072F"/>
    <w:rsid w:val="00F90233"/>
    <w:rsid w:val="00F906F4"/>
    <w:rsid w:val="00F9527E"/>
    <w:rsid w:val="00FA3D5B"/>
    <w:rsid w:val="00FA6A18"/>
    <w:rsid w:val="00FA7FF3"/>
    <w:rsid w:val="00FB4201"/>
    <w:rsid w:val="00FC2324"/>
    <w:rsid w:val="00FC76B3"/>
    <w:rsid w:val="00FD27F6"/>
    <w:rsid w:val="00FD49D6"/>
    <w:rsid w:val="00FE133B"/>
    <w:rsid w:val="00FE54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DF41C"/>
  <w15:chartTrackingRefBased/>
  <w15:docId w15:val="{B678010A-981F-4809-B461-12D6F4F93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218"/>
  </w:style>
  <w:style w:type="paragraph" w:styleId="Heading1">
    <w:name w:val="heading 1"/>
    <w:basedOn w:val="Normal"/>
    <w:next w:val="Normal"/>
    <w:link w:val="Heading1Char"/>
    <w:uiPriority w:val="9"/>
    <w:qFormat/>
    <w:rsid w:val="006702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02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02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02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02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02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2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2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2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2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02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02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02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02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02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2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2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218"/>
    <w:rPr>
      <w:rFonts w:eastAsiaTheme="majorEastAsia" w:cstheme="majorBidi"/>
      <w:color w:val="272727" w:themeColor="text1" w:themeTint="D8"/>
    </w:rPr>
  </w:style>
  <w:style w:type="paragraph" w:styleId="Title">
    <w:name w:val="Title"/>
    <w:basedOn w:val="Normal"/>
    <w:next w:val="Normal"/>
    <w:link w:val="TitleChar"/>
    <w:uiPriority w:val="10"/>
    <w:qFormat/>
    <w:rsid w:val="006702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2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2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2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218"/>
    <w:pPr>
      <w:spacing w:before="160"/>
      <w:jc w:val="center"/>
    </w:pPr>
    <w:rPr>
      <w:i/>
      <w:iCs/>
      <w:color w:val="404040" w:themeColor="text1" w:themeTint="BF"/>
    </w:rPr>
  </w:style>
  <w:style w:type="character" w:customStyle="1" w:styleId="QuoteChar">
    <w:name w:val="Quote Char"/>
    <w:basedOn w:val="DefaultParagraphFont"/>
    <w:link w:val="Quote"/>
    <w:uiPriority w:val="29"/>
    <w:rsid w:val="00670218"/>
    <w:rPr>
      <w:i/>
      <w:iCs/>
      <w:color w:val="404040" w:themeColor="text1" w:themeTint="BF"/>
    </w:rPr>
  </w:style>
  <w:style w:type="paragraph" w:styleId="ListParagraph">
    <w:name w:val="List Paragraph"/>
    <w:basedOn w:val="Normal"/>
    <w:uiPriority w:val="34"/>
    <w:qFormat/>
    <w:rsid w:val="00670218"/>
    <w:pPr>
      <w:ind w:left="720"/>
      <w:contextualSpacing/>
    </w:pPr>
  </w:style>
  <w:style w:type="character" w:styleId="IntenseEmphasis">
    <w:name w:val="Intense Emphasis"/>
    <w:basedOn w:val="DefaultParagraphFont"/>
    <w:uiPriority w:val="21"/>
    <w:qFormat/>
    <w:rsid w:val="00670218"/>
    <w:rPr>
      <w:i/>
      <w:iCs/>
      <w:color w:val="2F5496" w:themeColor="accent1" w:themeShade="BF"/>
    </w:rPr>
  </w:style>
  <w:style w:type="paragraph" w:styleId="IntenseQuote">
    <w:name w:val="Intense Quote"/>
    <w:basedOn w:val="Normal"/>
    <w:next w:val="Normal"/>
    <w:link w:val="IntenseQuoteChar"/>
    <w:uiPriority w:val="30"/>
    <w:qFormat/>
    <w:rsid w:val="006702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0218"/>
    <w:rPr>
      <w:i/>
      <w:iCs/>
      <w:color w:val="2F5496" w:themeColor="accent1" w:themeShade="BF"/>
    </w:rPr>
  </w:style>
  <w:style w:type="character" w:styleId="IntenseReference">
    <w:name w:val="Intense Reference"/>
    <w:basedOn w:val="DefaultParagraphFont"/>
    <w:uiPriority w:val="32"/>
    <w:qFormat/>
    <w:rsid w:val="00670218"/>
    <w:rPr>
      <w:b/>
      <w:bCs/>
      <w:smallCaps/>
      <w:color w:val="2F5496" w:themeColor="accent1" w:themeShade="BF"/>
      <w:spacing w:val="5"/>
    </w:rPr>
  </w:style>
  <w:style w:type="character" w:customStyle="1" w:styleId="mi">
    <w:name w:val="mi"/>
    <w:basedOn w:val="DefaultParagraphFont"/>
    <w:rsid w:val="00670218"/>
  </w:style>
  <w:style w:type="character" w:styleId="Hyperlink">
    <w:name w:val="Hyperlink"/>
    <w:basedOn w:val="DefaultParagraphFont"/>
    <w:uiPriority w:val="99"/>
    <w:unhideWhenUsed/>
    <w:rsid w:val="00BF04BF"/>
    <w:rPr>
      <w:color w:val="0563C1" w:themeColor="hyperlink"/>
      <w:u w:val="single"/>
    </w:rPr>
  </w:style>
  <w:style w:type="character" w:styleId="LineNumber">
    <w:name w:val="line number"/>
    <w:basedOn w:val="DefaultParagraphFont"/>
    <w:uiPriority w:val="99"/>
    <w:semiHidden/>
    <w:unhideWhenUsed/>
    <w:rsid w:val="001E1CBF"/>
  </w:style>
  <w:style w:type="paragraph" w:styleId="Revision">
    <w:name w:val="Revision"/>
    <w:hidden/>
    <w:uiPriority w:val="99"/>
    <w:semiHidden/>
    <w:rsid w:val="00F6199D"/>
    <w:pPr>
      <w:spacing w:after="0" w:line="240" w:lineRule="auto"/>
    </w:pPr>
  </w:style>
  <w:style w:type="character" w:styleId="CommentReference">
    <w:name w:val="annotation reference"/>
    <w:basedOn w:val="DefaultParagraphFont"/>
    <w:uiPriority w:val="99"/>
    <w:semiHidden/>
    <w:unhideWhenUsed/>
    <w:rsid w:val="00F6199D"/>
    <w:rPr>
      <w:sz w:val="16"/>
      <w:szCs w:val="16"/>
    </w:rPr>
  </w:style>
  <w:style w:type="paragraph" w:styleId="CommentText">
    <w:name w:val="annotation text"/>
    <w:basedOn w:val="Normal"/>
    <w:link w:val="CommentTextChar"/>
    <w:uiPriority w:val="99"/>
    <w:unhideWhenUsed/>
    <w:rsid w:val="00F6199D"/>
    <w:pPr>
      <w:spacing w:line="240" w:lineRule="auto"/>
    </w:pPr>
    <w:rPr>
      <w:sz w:val="20"/>
      <w:szCs w:val="20"/>
    </w:rPr>
  </w:style>
  <w:style w:type="character" w:customStyle="1" w:styleId="CommentTextChar">
    <w:name w:val="Comment Text Char"/>
    <w:basedOn w:val="DefaultParagraphFont"/>
    <w:link w:val="CommentText"/>
    <w:uiPriority w:val="99"/>
    <w:rsid w:val="00F6199D"/>
    <w:rPr>
      <w:sz w:val="20"/>
      <w:szCs w:val="20"/>
    </w:rPr>
  </w:style>
  <w:style w:type="paragraph" w:styleId="CommentSubject">
    <w:name w:val="annotation subject"/>
    <w:basedOn w:val="CommentText"/>
    <w:next w:val="CommentText"/>
    <w:link w:val="CommentSubjectChar"/>
    <w:uiPriority w:val="99"/>
    <w:semiHidden/>
    <w:unhideWhenUsed/>
    <w:rsid w:val="00F6199D"/>
    <w:rPr>
      <w:b/>
      <w:bCs/>
    </w:rPr>
  </w:style>
  <w:style w:type="character" w:customStyle="1" w:styleId="CommentSubjectChar">
    <w:name w:val="Comment Subject Char"/>
    <w:basedOn w:val="CommentTextChar"/>
    <w:link w:val="CommentSubject"/>
    <w:uiPriority w:val="99"/>
    <w:semiHidden/>
    <w:rsid w:val="00F6199D"/>
    <w:rPr>
      <w:b/>
      <w:bCs/>
      <w:sz w:val="20"/>
      <w:szCs w:val="20"/>
    </w:rPr>
  </w:style>
  <w:style w:type="character" w:styleId="UnresolvedMention">
    <w:name w:val="Unresolved Mention"/>
    <w:basedOn w:val="DefaultParagraphFont"/>
    <w:uiPriority w:val="99"/>
    <w:semiHidden/>
    <w:unhideWhenUsed/>
    <w:rsid w:val="005B3082"/>
    <w:rPr>
      <w:color w:val="605E5C"/>
      <w:shd w:val="clear" w:color="auto" w:fill="E1DFDD"/>
    </w:rPr>
  </w:style>
  <w:style w:type="paragraph" w:styleId="Header">
    <w:name w:val="header"/>
    <w:basedOn w:val="Normal"/>
    <w:link w:val="HeaderChar"/>
    <w:uiPriority w:val="99"/>
    <w:unhideWhenUsed/>
    <w:rsid w:val="002563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6380"/>
  </w:style>
  <w:style w:type="paragraph" w:styleId="Footer">
    <w:name w:val="footer"/>
    <w:basedOn w:val="Normal"/>
    <w:link w:val="FooterChar"/>
    <w:uiPriority w:val="99"/>
    <w:unhideWhenUsed/>
    <w:rsid w:val="002563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63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nps.gov/sitk/index.htm%20"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sv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1738</TotalTime>
  <Pages>8</Pages>
  <Words>1927</Words>
  <Characters>10985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McGreal</dc:creator>
  <cp:keywords/>
  <dc:description/>
  <cp:lastModifiedBy>Brian McGreal</cp:lastModifiedBy>
  <cp:revision>45</cp:revision>
  <dcterms:created xsi:type="dcterms:W3CDTF">2026-05-20T19:27:00Z</dcterms:created>
  <dcterms:modified xsi:type="dcterms:W3CDTF">2026-06-03T23:03:00Z</dcterms:modified>
</cp:coreProperties>
</file>