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40CFE175" w:rsidR="00FA2C4A" w:rsidRDefault="00FA2C4A">
      <w:pPr>
        <w:rPr>
          <w:i/>
          <w:iCs/>
          <w:sz w:val="20"/>
          <w:szCs w:val="20"/>
        </w:rPr>
      </w:pPr>
    </w:p>
    <w:p w14:paraId="4242DF65" w14:textId="49BAC6A0" w:rsidR="00584844" w:rsidRDefault="003821EC" w:rsidP="00584844">
      <w:pPr>
        <w:spacing w:line="240" w:lineRule="auto"/>
        <w:rPr>
          <w:b/>
          <w:bCs/>
        </w:rPr>
      </w:pPr>
      <w:r>
        <w:rPr>
          <w:b/>
          <w:bCs/>
          <w:noProof/>
        </w:rPr>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64ADC1DA" w:rsidR="001159C6" w:rsidRDefault="001159C6" w:rsidP="00584844">
      <w:pPr>
        <w:rPr>
          <w:b/>
          <w:bCs/>
        </w:rPr>
      </w:pPr>
      <w:r>
        <w:rPr>
          <w:i/>
          <w:iCs/>
          <w:noProof/>
          <w:sz w:val="20"/>
          <w:szCs w:val="20"/>
        </w:rPr>
        <w:lastRenderedPageBreak/>
        <w:drawing>
          <wp:inline distT="0" distB="0" distL="0" distR="0" wp14:anchorId="0B9698C2" wp14:editId="0493FFF7">
            <wp:extent cx="5943600" cy="3990975"/>
            <wp:effectExtent l="0" t="0" r="0" b="9525"/>
            <wp:docPr id="1601221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21C233C6" w14:textId="38F46792" w:rsidR="001159C6" w:rsidRDefault="001159C6" w:rsidP="001159C6">
      <w:pPr>
        <w:spacing w:after="0" w:line="240" w:lineRule="auto"/>
        <w:ind w:left="360"/>
        <w:rPr>
          <w:sz w:val="20"/>
          <w:szCs w:val="20"/>
        </w:rPr>
      </w:pPr>
      <w:r w:rsidRPr="00D368CD">
        <w:rPr>
          <w:i/>
          <w:iCs/>
          <w:sz w:val="20"/>
          <w:szCs w:val="20"/>
        </w:rPr>
        <w:t xml:space="preserve">Figure </w:t>
      </w:r>
      <w:r w:rsidR="00FA2C4A">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5615BE89" w14:textId="77777777" w:rsidR="00A2788C" w:rsidRDefault="001159C6">
      <w:pPr>
        <w:rPr>
          <w:sz w:val="20"/>
          <w:szCs w:val="20"/>
        </w:rPr>
      </w:pPr>
      <w:r>
        <w:rPr>
          <w:sz w:val="20"/>
          <w:szCs w:val="20"/>
        </w:rPr>
        <w:br w:type="page"/>
      </w:r>
      <w:r w:rsidR="00A2788C" w:rsidRPr="00A2788C">
        <w:rPr>
          <w:noProof/>
          <w:sz w:val="20"/>
          <w:szCs w:val="20"/>
        </w:rPr>
        <w:lastRenderedPageBreak/>
        <w:drawing>
          <wp:inline distT="0" distB="0" distL="0" distR="0" wp14:anchorId="314270D1" wp14:editId="77A1070B">
            <wp:extent cx="6182962" cy="3643952"/>
            <wp:effectExtent l="0" t="0" r="8890" b="0"/>
            <wp:doc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pic:cNvPicPr/>
                  </pic:nvPicPr>
                  <pic:blipFill>
                    <a:blip r:embed="rId10"/>
                    <a:stretch>
                      <a:fillRect/>
                    </a:stretch>
                  </pic:blipFill>
                  <pic:spPr>
                    <a:xfrm>
                      <a:off x="0" y="0"/>
                      <a:ext cx="6223385" cy="3667775"/>
                    </a:xfrm>
                    <a:prstGeom prst="rect">
                      <a:avLst/>
                    </a:prstGeom>
                  </pic:spPr>
                </pic:pic>
              </a:graphicData>
            </a:graphic>
          </wp:inline>
        </w:drawing>
      </w:r>
    </w:p>
    <w:p w14:paraId="2B515DB1" w14:textId="5860A08F" w:rsidR="008F08E3" w:rsidRDefault="00A2788C">
      <w:pPr>
        <w:rPr>
          <w:i/>
          <w:iCs/>
          <w:sz w:val="20"/>
          <w:szCs w:val="20"/>
        </w:rPr>
      </w:pPr>
      <w:r w:rsidRPr="001159C6">
        <w:rPr>
          <w:i/>
          <w:iCs/>
          <w:sz w:val="20"/>
          <w:szCs w:val="20"/>
        </w:rPr>
        <w:t>Table 1</w:t>
      </w:r>
      <w:r>
        <w:rPr>
          <w:i/>
          <w:iCs/>
          <w:sz w:val="20"/>
          <w:szCs w:val="20"/>
        </w:rPr>
        <w:t xml:space="preserve">: </w:t>
      </w:r>
      <w:r w:rsidR="002F66CC">
        <w:rPr>
          <w:i/>
          <w:iCs/>
          <w:sz w:val="20"/>
          <w:szCs w:val="20"/>
        </w:rPr>
        <w:t xml:space="preserve">Statistical test results comparing time series data. Each column describes a comparison between fitted states of Indian River pink salmon abundance to fitted states of an “average” pink salmon index stream in ADFG’s </w:t>
      </w:r>
      <w:r w:rsidR="002F66CC" w:rsidRPr="002F66CC">
        <w:rPr>
          <w:i/>
          <w:iCs/>
          <w:sz w:val="20"/>
          <w:szCs w:val="20"/>
        </w:rPr>
        <w:t>‘north southeast (outside)’</w:t>
      </w:r>
      <w:r w:rsidR="002F66CC">
        <w:rPr>
          <w:i/>
          <w:iCs/>
          <w:sz w:val="20"/>
          <w:szCs w:val="20"/>
        </w:rPr>
        <w:t xml:space="preserve"> region. </w:t>
      </w:r>
    </w:p>
    <w:p w14:paraId="0DFC80F8" w14:textId="77777777" w:rsidR="008F08E3" w:rsidRDefault="008F08E3">
      <w:pPr>
        <w:rPr>
          <w:i/>
          <w:iCs/>
          <w:sz w:val="20"/>
          <w:szCs w:val="20"/>
        </w:rPr>
      </w:pPr>
      <w:r>
        <w:rPr>
          <w:i/>
          <w:iCs/>
          <w:sz w:val="20"/>
          <w:szCs w:val="20"/>
        </w:rPr>
        <w:br w:type="page"/>
      </w:r>
    </w:p>
    <w:p w14:paraId="7359D581" w14:textId="0F400245" w:rsidR="00A2788C" w:rsidRDefault="008F08E3">
      <w:pPr>
        <w:rPr>
          <w:sz w:val="20"/>
          <w:szCs w:val="20"/>
        </w:rPr>
      </w:pPr>
      <w:r>
        <w:rPr>
          <w:noProof/>
          <w:sz w:val="20"/>
          <w:szCs w:val="20"/>
        </w:rPr>
        <w:lastRenderedPageBreak/>
        <w:drawing>
          <wp:inline distT="0" distB="0" distL="0" distR="0" wp14:anchorId="36821689" wp14:editId="1DC3A914">
            <wp:extent cx="5937885" cy="3265805"/>
            <wp:effectExtent l="0" t="0" r="5715" b="0"/>
            <wp:docPr id="4533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265805"/>
                    </a:xfrm>
                    <a:prstGeom prst="rect">
                      <a:avLst/>
                    </a:prstGeom>
                    <a:noFill/>
                    <a:ln>
                      <a:noFill/>
                    </a:ln>
                  </pic:spPr>
                </pic:pic>
              </a:graphicData>
            </a:graphic>
          </wp:inline>
        </w:drawing>
      </w:r>
    </w:p>
    <w:p w14:paraId="151FAC89" w14:textId="50222CE6" w:rsidR="008F08E3" w:rsidRDefault="008F08E3" w:rsidP="008F08E3">
      <w:pPr>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Parallel trends assumption holds in all cases except for even-year runs prior to 1980. It is necessary to construct a synthetic control group for this model.</w:t>
      </w:r>
    </w:p>
    <w:p w14:paraId="4D0141C8" w14:textId="77777777" w:rsidR="001159C6" w:rsidRDefault="001159C6">
      <w:pPr>
        <w:rPr>
          <w:sz w:val="20"/>
          <w:szCs w:val="20"/>
        </w:rPr>
      </w:pPr>
    </w:p>
    <w:p w14:paraId="3CF2518C" w14:textId="2C49E073" w:rsidR="001159C6" w:rsidRDefault="001F4C2E" w:rsidP="001159C6">
      <w:pPr>
        <w:spacing w:after="0" w:line="240" w:lineRule="auto"/>
        <w:ind w:left="360"/>
      </w:pPr>
      <w:r>
        <w:rPr>
          <w:noProof/>
        </w:rPr>
        <w:lastRenderedPageBreak/>
        <w:drawing>
          <wp:inline distT="0" distB="0" distL="0" distR="0" wp14:anchorId="5DCAB4DC" wp14:editId="29346369">
            <wp:extent cx="5934075" cy="4933950"/>
            <wp:effectExtent l="0" t="0" r="9525" b="0"/>
            <wp:docPr id="87142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7E3DA3D9" w:rsidR="001159C6" w:rsidRPr="001159C6" w:rsidRDefault="001159C6" w:rsidP="001159C6">
      <w:pPr>
        <w:spacing w:after="0" w:line="240" w:lineRule="auto"/>
        <w:ind w:left="360"/>
        <w:rPr>
          <w:i/>
          <w:iCs/>
          <w:sz w:val="20"/>
          <w:szCs w:val="20"/>
        </w:rPr>
      </w:pPr>
      <w:r w:rsidRPr="001159C6">
        <w:rPr>
          <w:i/>
          <w:iCs/>
          <w:sz w:val="20"/>
          <w:szCs w:val="20"/>
        </w:rPr>
        <w:t xml:space="preserve">Table </w:t>
      </w:r>
      <w:r w:rsidR="008F08E3">
        <w:rPr>
          <w:i/>
          <w:iCs/>
          <w:sz w:val="20"/>
          <w:szCs w:val="20"/>
        </w:rPr>
        <w:t>3</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3"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4"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pp.</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2F4B5E33" w14:textId="65096D57" w:rsidR="0088198E"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AD15AE">
        <w:t>Canadian Journal of Fisheries and Aquatic Sciences</w:t>
      </w:r>
      <w:r>
        <w:t xml:space="preserve"> 74(9): 1325-1336.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t xml:space="preserve">National Park Service. 2025a. Organic Act of 1916. Available at: </w:t>
      </w:r>
      <w:hyperlink r:id="rId15"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lastRenderedPageBreak/>
        <w:t xml:space="preserve">Quinn, T. P. 2018. </w:t>
      </w:r>
      <w:r>
        <w:rPr>
          <w:i/>
          <w:iCs/>
        </w:rPr>
        <w:t>The Behavior and Ecology of Pacific Salmon and Trout, Second Edition.</w:t>
      </w:r>
      <w:r>
        <w:t xml:space="preserve"> University of Washington Press, 547 pp.</w:t>
      </w:r>
    </w:p>
    <w:p w14:paraId="4CB2DB8F" w14:textId="77777777" w:rsidR="00584844" w:rsidRDefault="00584844" w:rsidP="00584844">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12pp.</w:t>
      </w:r>
    </w:p>
    <w:p w14:paraId="7675377B" w14:textId="77777777" w:rsidR="00584844" w:rsidRPr="008776F4" w:rsidRDefault="00584844" w:rsidP="00584844">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National Park Service, 170 pp.</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1D5683"/>
    <w:rsid w:val="001F4C2E"/>
    <w:rsid w:val="002731F8"/>
    <w:rsid w:val="002C38CB"/>
    <w:rsid w:val="002F66CC"/>
    <w:rsid w:val="00370A9F"/>
    <w:rsid w:val="003821EC"/>
    <w:rsid w:val="00402423"/>
    <w:rsid w:val="00496748"/>
    <w:rsid w:val="00517E09"/>
    <w:rsid w:val="00584844"/>
    <w:rsid w:val="005D1695"/>
    <w:rsid w:val="005F00F2"/>
    <w:rsid w:val="00633AFA"/>
    <w:rsid w:val="00786913"/>
    <w:rsid w:val="00795151"/>
    <w:rsid w:val="00814143"/>
    <w:rsid w:val="00843FC5"/>
    <w:rsid w:val="0088198E"/>
    <w:rsid w:val="008F08E3"/>
    <w:rsid w:val="0095349A"/>
    <w:rsid w:val="009D4DE7"/>
    <w:rsid w:val="00A2788C"/>
    <w:rsid w:val="00D20860"/>
    <w:rsid w:val="00E00F85"/>
    <w:rsid w:val="00F613AD"/>
    <w:rsid w:val="00FA2C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fg.alaska.gov/index.cfm?adfg=commercialbyareasoutheast.salmon_research_pink"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nps.gov/sitk/index.htm%20"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www.nps.gov/grba/learn/management/organic-act-of-1916.htm%20"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mtalab.adfg.alaska.gov/OTO/mark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11</Pages>
  <Words>1004</Words>
  <Characters>5723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19</cp:revision>
  <dcterms:created xsi:type="dcterms:W3CDTF">2026-02-19T20:34:00Z</dcterms:created>
  <dcterms:modified xsi:type="dcterms:W3CDTF">2026-02-26T16:16:00Z</dcterms:modified>
</cp:coreProperties>
</file>