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Pr="00D9784A" w:rsidRDefault="00670218" w:rsidP="00612D9D">
      <w:pPr>
        <w:pStyle w:val="ListParagraph"/>
        <w:spacing w:after="0" w:line="480" w:lineRule="auto"/>
        <w:ind w:left="360"/>
        <w:rPr>
          <w:b/>
          <w:bCs/>
          <w:u w:val="single"/>
        </w:rPr>
      </w:pPr>
      <w:bookmarkStart w:id="0" w:name="_Hlk201667573"/>
      <w:r w:rsidRPr="00D9784A">
        <w:rPr>
          <w:b/>
          <w:bCs/>
          <w:u w:val="single"/>
        </w:rPr>
        <w:t xml:space="preserve">Introduction </w:t>
      </w:r>
    </w:p>
    <w:p w14:paraId="439291BE" w14:textId="20C3D6E0"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w:t>
      </w:r>
      <w:proofErr w:type="gramStart"/>
      <w:r>
        <w:t>variation’.</w:t>
      </w:r>
      <w:proofErr w:type="gramEnd"/>
      <w:r>
        <w:t xml:space="preserve"> Pursuant to this, park managers are often confronted with either the scarcity of native plant or animal species</w:t>
      </w:r>
      <w:r w:rsidR="005078EE">
        <w:t>,</w:t>
      </w:r>
      <w:r>
        <w:t xml:space="preserve"> or an abundance of non-native (exotic, invasive) species that may damage park ecosystems </w:t>
      </w:r>
      <w:r>
        <w:rPr>
          <w:rFonts w:cstheme="minorHAnsi"/>
          <w:color w:val="202122"/>
          <w:shd w:val="clear" w:color="auto" w:fill="FFFFFF"/>
        </w:rPr>
        <w:t>(National Park Service 2025a)</w:t>
      </w:r>
      <w:r>
        <w:t xml:space="preserve">. However, harm to ecosystems can also be driven by </w:t>
      </w:r>
      <w:r w:rsidR="005078EE">
        <w:t>the</w:t>
      </w:r>
      <w:r>
        <w:t xml:space="preserve"> hyperabundance of a native species, due either to shifting regional trends in habitat suitability, to direct (and often anthropogenic) intervention, or to a combination of these factors (</w:t>
      </w:r>
      <w:proofErr w:type="spellStart"/>
      <w:r>
        <w:t>Sambaraju</w:t>
      </w:r>
      <w:proofErr w:type="spellEnd"/>
      <w:r>
        <w:t xml:space="preserve"> and </w:t>
      </w:r>
      <w:proofErr w:type="spellStart"/>
      <w:r>
        <w:t>Goodsman</w:t>
      </w:r>
      <w:proofErr w:type="spellEnd"/>
      <w:r>
        <w:t xml:space="preserve"> 2021, Beckett et al. 2022, Moore et al. 2023). </w:t>
      </w:r>
      <w:r w:rsidR="005078EE">
        <w:t>For example, in Yellowstone National Park, native mountain pine beetles (</w:t>
      </w:r>
      <w:r w:rsidR="005078EE">
        <w:rPr>
          <w:i/>
          <w:iCs/>
        </w:rPr>
        <w:t xml:space="preserve">Dendroctonus </w:t>
      </w:r>
      <w:proofErr w:type="spellStart"/>
      <w:r w:rsidR="005078EE">
        <w:rPr>
          <w:i/>
          <w:iCs/>
        </w:rPr>
        <w:t>ponderosae</w:t>
      </w:r>
      <w:proofErr w:type="spellEnd"/>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 xml:space="preserve">finding themselves confronted with such issues must make careful and informed decisions based on the best </w:t>
      </w:r>
      <w:r w:rsidR="00A017CB">
        <w:lastRenderedPageBreak/>
        <w:t>scientific information available</w:t>
      </w:r>
      <w:r>
        <w:t xml:space="preserve"> as they seek to interpret and implement the mandate to preserve resources in a natural condition. </w:t>
      </w:r>
    </w:p>
    <w:p w14:paraId="0DCE0F57" w14:textId="640781DB" w:rsidR="00670218" w:rsidRDefault="00670218" w:rsidP="00A017CB">
      <w:pPr>
        <w:spacing w:after="0" w:line="480" w:lineRule="auto"/>
        <w:ind w:firstLine="360"/>
      </w:pPr>
      <w:r>
        <w:t>With these ideas in mind, my research focuses on Sitka National Historical Park (SITK) in Sitka, Alaska, a small 112-acre coastal park located in the state’s south</w:t>
      </w:r>
      <w:r w:rsidR="00A017CB">
        <w:t>east</w:t>
      </w:r>
      <w:r>
        <w:t xml:space="preserve">ern panhandle. SITK was designated a National Monument in 1910 and park in 1972, primarily </w:t>
      </w:r>
      <w:r w:rsidRPr="00A017CB">
        <w:rPr>
          <w:rFonts w:cstheme="minorHAnsi"/>
          <w:color w:val="202122"/>
          <w:shd w:val="clear" w:color="auto" w:fill="FFFFFF"/>
        </w:rPr>
        <w:t>to</w:t>
      </w:r>
      <w:r>
        <w:t xml:space="preserve"> conserve the site of an 1804 battle </w:t>
      </w:r>
      <w:r w:rsidRPr="00A017CB">
        <w:rPr>
          <w:rFonts w:cstheme="minorHAnsi"/>
          <w:color w:val="202122"/>
          <w:shd w:val="clear" w:color="auto" w:fill="FFFFFF"/>
        </w:rPr>
        <w:t xml:space="preserve">between the native Tlingit Kiks.ádi clan and Russian colonizers </w:t>
      </w:r>
      <w:r>
        <w:t>(National Park Service 2025b)</w:t>
      </w:r>
      <w:r w:rsidRPr="00A017CB">
        <w:rPr>
          <w:rFonts w:cstheme="minorHAnsi"/>
          <w:color w:val="202122"/>
          <w:shd w:val="clear" w:color="auto" w:fill="FFFFFF"/>
        </w:rPr>
        <w:t xml:space="preserve">.  The park, which </w:t>
      </w:r>
      <w:r>
        <w:t>features a series of totem poles along designated trails and active traditional totem carving activities</w:t>
      </w:r>
      <w:r w:rsidRPr="00A017CB">
        <w:rPr>
          <w:rFonts w:cstheme="minorHAnsi"/>
          <w:color w:val="202122"/>
          <w:shd w:val="clear" w:color="auto" w:fill="FFFFFF"/>
        </w:rPr>
        <w:t xml:space="preserve">, is visited by tens of thousands of tourists each year </w:t>
      </w:r>
      <w:r>
        <w:t>who learn about the history of Sitka and Tlingit culture. While its foundational purpose is the preservation of a historical event, today the park is managed to</w:t>
      </w:r>
      <w:r w:rsidRPr="00A017CB">
        <w:rPr>
          <w:rFonts w:cstheme="minorHAnsi"/>
          <w:color w:val="202122"/>
          <w:shd w:val="clear" w:color="auto" w:fill="FFFFFF"/>
        </w:rPr>
        <w:t xml:space="preserve"> preserve the </w:t>
      </w:r>
      <w:r w:rsidR="00A017CB">
        <w:t>ecosystems</w:t>
      </w:r>
      <w:r w:rsidR="00A017CB" w:rsidRPr="00A017CB">
        <w:rPr>
          <w:rFonts w:cstheme="minorHAnsi"/>
          <w:color w:val="202122"/>
          <w:shd w:val="clear" w:color="auto" w:fill="FFFFFF"/>
        </w:rPr>
        <w:t xml:space="preserve"> </w:t>
      </w:r>
      <w:r w:rsidR="00A017CB">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t xml:space="preserve"> </w:t>
      </w:r>
      <w:r w:rsidR="00A017CB">
        <w:t xml:space="preserve">including </w:t>
      </w:r>
      <w:r>
        <w:t>mature spruce-hemlock forests and the Indian River, the main reach and intertidal area of which fall within park boundaries</w:t>
      </w:r>
    </w:p>
    <w:p w14:paraId="6E37A897" w14:textId="551496FE" w:rsidR="00670218" w:rsidRDefault="00670218" w:rsidP="00A017CB">
      <w:pPr>
        <w:spacing w:after="0" w:line="480" w:lineRule="auto"/>
        <w:ind w:firstLine="360"/>
      </w:pPr>
      <w:r w:rsidRPr="00A017CB">
        <w:rPr>
          <w:rFonts w:cstheme="minorHAnsi"/>
          <w:color w:val="202122"/>
          <w:shd w:val="clear" w:color="auto" w:fill="FFFFFF"/>
        </w:rPr>
        <w:t xml:space="preserve">Since time immemorial </w:t>
      </w:r>
      <w:proofErr w:type="spellStart"/>
      <w:r w:rsidRPr="00A017CB">
        <w:rPr>
          <w:rFonts w:cstheme="minorHAnsi"/>
          <w:color w:val="202122"/>
          <w:u w:val="single"/>
          <w:shd w:val="clear" w:color="auto" w:fill="FFFFFF"/>
        </w:rPr>
        <w:t>K</w:t>
      </w:r>
      <w:r w:rsidRPr="00A017CB">
        <w:rPr>
          <w:rFonts w:cstheme="minorHAnsi"/>
          <w:color w:val="202122"/>
          <w:shd w:val="clear" w:color="auto" w:fill="FFFFFF"/>
        </w:rPr>
        <w:t>aasda</w:t>
      </w:r>
      <w:proofErr w:type="spellEnd"/>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Héen</w:t>
      </w:r>
      <w:proofErr w:type="spellEnd"/>
      <w:r w:rsidRPr="00A017CB">
        <w:rPr>
          <w:rFonts w:cstheme="minorHAnsi"/>
          <w:color w:val="202122"/>
          <w:shd w:val="clear" w:color="auto" w:fill="FFFFFF"/>
        </w:rPr>
        <w:t xml:space="preserve"> (the Indian River)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 xml:space="preserve">Oncorhynchus keta, </w:t>
      </w:r>
      <w:proofErr w:type="spellStart"/>
      <w:r w:rsidRPr="00A017CB">
        <w:rPr>
          <w:i/>
          <w:iCs/>
        </w:rPr>
        <w:t>T</w:t>
      </w:r>
      <w:r w:rsidRPr="00EB397D">
        <w:t>éel</w:t>
      </w:r>
      <w:proofErr w:type="spellEnd"/>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L’ook</w:t>
      </w:r>
      <w:proofErr w:type="spellEnd"/>
      <w:r w:rsidRPr="00A017CB">
        <w:rPr>
          <w:rFonts w:cstheme="minorHAnsi"/>
          <w:color w:val="202122"/>
          <w:shd w:val="clear" w:color="auto" w:fill="FFFFFF"/>
        </w:rPr>
        <w:t>), Chinook (</w:t>
      </w:r>
      <w:r w:rsidRPr="00A017CB">
        <w:rPr>
          <w:rFonts w:cstheme="minorHAnsi"/>
          <w:i/>
          <w:iCs/>
          <w:color w:val="202122"/>
          <w:shd w:val="clear" w:color="auto" w:fill="FFFFFF"/>
        </w:rPr>
        <w:t>O. tshawytscha</w:t>
      </w:r>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T’a</w:t>
      </w:r>
      <w:proofErr w:type="spellEnd"/>
      <w:r w:rsidRPr="00A017CB">
        <w:rPr>
          <w:rFonts w:cstheme="minorHAnsi"/>
          <w:color w:val="202122"/>
          <w:shd w:val="clear" w:color="auto" w:fill="FFFFFF"/>
        </w:rPr>
        <w:t>́), and pink salmon (</w:t>
      </w:r>
      <w:r w:rsidRPr="00A017CB">
        <w:rPr>
          <w:rFonts w:cstheme="minorHAnsi"/>
          <w:i/>
          <w:iCs/>
          <w:color w:val="202122"/>
          <w:shd w:val="clear" w:color="auto" w:fill="FFFFFF"/>
        </w:rPr>
        <w:t xml:space="preserve">O. </w:t>
      </w:r>
      <w:proofErr w:type="spellStart"/>
      <w:r w:rsidRPr="00A017CB">
        <w:rPr>
          <w:rFonts w:cstheme="minorHAnsi"/>
          <w:i/>
          <w:iCs/>
          <w:color w:val="202122"/>
          <w:shd w:val="clear" w:color="auto" w:fill="FFFFFF"/>
        </w:rPr>
        <w:t>gorbuscha</w:t>
      </w:r>
      <w:proofErr w:type="spellEnd"/>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Cháas</w:t>
      </w:r>
      <w:proofErr w:type="spellEnd"/>
      <w:r w:rsidRPr="00A017CB">
        <w:rPr>
          <w:rFonts w:cstheme="minorHAnsi"/>
          <w:color w:val="202122"/>
          <w:shd w:val="clear" w:color="auto" w:fill="FFFFFF"/>
        </w:rPr>
        <w:t>’)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Eggs hatch in the winter and in the </w:t>
      </w:r>
      <w:proofErr w:type="gramStart"/>
      <w:r w:rsidRPr="00A017CB">
        <w:rPr>
          <w:rFonts w:cstheme="minorHAnsi"/>
          <w:color w:val="202122"/>
          <w:shd w:val="clear" w:color="auto" w:fill="FFFFFF"/>
        </w:rPr>
        <w:t>spring</w:t>
      </w:r>
      <w:proofErr w:type="gramEnd"/>
      <w:r w:rsidRPr="00A017CB">
        <w:rPr>
          <w:rFonts w:cstheme="minorHAnsi"/>
          <w:color w:val="202122"/>
          <w:shd w:val="clear" w:color="auto" w:fill="FFFFFF"/>
        </w:rPr>
        <w:t xml:space="preserve">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lastRenderedPageBreak/>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regularly exceeding 100,000 fish annually (</w:t>
      </w:r>
      <w:proofErr w:type="spellStart"/>
      <w:r>
        <w:t>Stopha</w:t>
      </w:r>
      <w:proofErr w:type="spellEnd"/>
      <w:r>
        <w:t xml:space="preserve">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w:t>
      </w:r>
      <w:proofErr w:type="spellStart"/>
      <w:r>
        <w:t>Stopha</w:t>
      </w:r>
      <w:proofErr w:type="spellEnd"/>
      <w:r>
        <w:t xml:space="preserve">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 xml:space="preserve">This water is </w:t>
      </w:r>
      <w:r w:rsidRPr="00CD14B8">
        <w:lastRenderedPageBreak/>
        <w:t>used to rear salmon fry, which imprint on its distinct chemical signature</w:t>
      </w:r>
      <w:r>
        <w:t xml:space="preserve">, </w:t>
      </w:r>
      <w:proofErr w:type="gramStart"/>
      <w:r>
        <w:t>and also</w:t>
      </w:r>
      <w:proofErr w:type="gramEnd"/>
      <w:r>
        <w:t xml:space="preserve">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w:t>
      </w:r>
      <w:proofErr w:type="spellStart"/>
      <w:r>
        <w:t>Stopha</w:t>
      </w:r>
      <w:proofErr w:type="spellEnd"/>
      <w:r>
        <w:t xml:space="preserve">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w:t>
      </w:r>
      <w:r>
        <w:lastRenderedPageBreak/>
        <w:t>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w:t>
      </w:r>
      <w:proofErr w:type="spellStart"/>
      <w:r>
        <w:t>Stopha</w:t>
      </w:r>
      <w:proofErr w:type="spellEnd"/>
      <w:r>
        <w:t xml:space="preserve">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w:t>
      </w:r>
      <w:proofErr w:type="gramStart"/>
      <w:r>
        <w:t>in a given year</w:t>
      </w:r>
      <w:proofErr w:type="gramEnd"/>
      <w:r>
        <w:t xml:space="preserve">. However, rates observed vary considerably, perhaps due to the time of year pink salmon are sampled, with some surveys observing rates of straying closer to 10% (Gende and Carter 2015). </w:t>
      </w:r>
    </w:p>
    <w:p w14:paraId="413C51F5" w14:textId="2E1AE005" w:rsidR="00B67742" w:rsidRDefault="00A368FA" w:rsidP="00B67742">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w:t>
      </w:r>
      <w:proofErr w:type="gramStart"/>
      <w:r>
        <w:t>streams’</w:t>
      </w:r>
      <w:proofErr w:type="gramEnd"/>
      <w:r>
        <w:t xml:space="preserve">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Figure</w:t>
      </w:r>
      <w:r w:rsidR="00A527C1">
        <w:t>s</w:t>
      </w:r>
      <w:r>
        <w:t xml:space="preserve"> 2 </w:t>
      </w:r>
      <w:r w:rsidR="00A527C1">
        <w:t xml:space="preserve">&amp; 3 </w:t>
      </w:r>
      <w:r>
        <w:t xml:space="preserve">describe peak escapement </w:t>
      </w:r>
      <w:r w:rsidR="00ED5857">
        <w:t>o</w:t>
      </w:r>
      <w:r w:rsidR="003C77AC">
        <w:t>f</w:t>
      </w:r>
      <w:r w:rsidR="00ED5857">
        <w:t xml:space="preserve"> salmon runs </w:t>
      </w:r>
      <w:r>
        <w:t>recorded</w:t>
      </w:r>
      <w:r w:rsidR="003C77AC">
        <w:t xml:space="preserve"> between 1960 and 202</w:t>
      </w:r>
      <w:r w:rsidR="00A527C1">
        <w:t>3</w:t>
      </w:r>
      <w:r>
        <w:t xml:space="preserve"> at </w:t>
      </w:r>
      <w:r w:rsidR="00A527C1">
        <w:t xml:space="preserve">Indian River and </w:t>
      </w:r>
      <w:r>
        <w:t>35 pink salmon streams</w:t>
      </w:r>
      <w:r w:rsidR="00A527C1">
        <w:t>, all</w:t>
      </w:r>
      <w:r w:rsidR="00ED5857">
        <w:t xml:space="preserve"> located in what ADFG designates as the ‘Northern Southeast (Outside)’ region.</w:t>
      </w:r>
      <w:r>
        <w:t xml:space="preserve"> </w:t>
      </w:r>
      <w:r w:rsidR="00F90233">
        <w:t>A cursory</w:t>
      </w:r>
      <w:r w:rsidR="00A527C1">
        <w:t xml:space="preserve"> inspection of these figures </w:t>
      </w:r>
      <w:r w:rsidR="00F90233">
        <w:lastRenderedPageBreak/>
        <w:t xml:space="preserve">suggests </w:t>
      </w:r>
      <w:r w:rsidR="00B67742">
        <w:t>that</w:t>
      </w:r>
      <w:r w:rsidR="00F90233">
        <w:t xml:space="preserve"> abundances of returning pink salmon have generally been on the rise throughout the region over the last few decades, and </w:t>
      </w:r>
      <w:r w:rsidR="00B67742">
        <w:t>that</w:t>
      </w:r>
      <w:r w:rsidR="00F90233">
        <w:t xml:space="preserve"> </w:t>
      </w:r>
      <w:r w:rsidR="00A527C1">
        <w:t xml:space="preserve">Indian River pink salmon are returning in </w:t>
      </w:r>
      <w:r w:rsidR="00B67742">
        <w:t>densities</w:t>
      </w:r>
      <w:r w:rsidR="00A527C1">
        <w:t xml:space="preserve"> </w:t>
      </w:r>
      <w:r w:rsidR="00F90233">
        <w:t xml:space="preserve">consistent with those observed in nearby </w:t>
      </w:r>
      <w:r w:rsidR="00B67742">
        <w:t xml:space="preserve">index </w:t>
      </w:r>
      <w:r w:rsidR="00F90233">
        <w:t xml:space="preserve">streams. </w:t>
      </w:r>
      <w:r w:rsidR="00606949">
        <w:t xml:space="preserve">While this is somewhat compelling, visual inspection of a few dozen time series is not sufficient to conclude whether and to what extent Sheldon Jackson Hatchery has influenced pink salmon abundance at Indian River.  </w:t>
      </w:r>
    </w:p>
    <w:p w14:paraId="2A043FF9" w14:textId="4FC49D92" w:rsidR="00670218" w:rsidRDefault="00670218" w:rsidP="00B67742">
      <w:pPr>
        <w:spacing w:after="0" w:line="480" w:lineRule="auto"/>
        <w:ind w:firstLine="360"/>
      </w:pPr>
      <w:r>
        <w:t xml:space="preserve">My research seeks to assess whether the abundances of pink salmon observed in recent decades at Indian River exist within a natural range of variation relative to pink salmon streams elsewhere in the region. </w:t>
      </w:r>
      <w:r w:rsidR="00B67742">
        <w:t>Additionally,</w:t>
      </w:r>
      <w:r>
        <w:t xml:space="preserve"> </w:t>
      </w:r>
      <w:r w:rsidR="00606949">
        <w:t>my</w:t>
      </w:r>
      <w:r>
        <w:t xml:space="preserve"> research </w:t>
      </w:r>
      <w:r w:rsidR="00B67742">
        <w:t>explore</w:t>
      </w:r>
      <w:r w:rsidR="00606949">
        <w:t>s</w:t>
      </w:r>
      <w:r w:rsidR="00B67742">
        <w:t xml:space="preserve"> whether a causal relationship exists between the operations of Sheldon Jackson Hatchery and the increased pink salmon abundances observed at Indian River since </w:t>
      </w:r>
      <w:proofErr w:type="gramStart"/>
      <w:r w:rsidR="00B67742">
        <w:t>1980</w:t>
      </w:r>
      <w:r w:rsidR="00606949">
        <w:t>, and</w:t>
      </w:r>
      <w:proofErr w:type="gramEnd"/>
      <w:r w:rsidR="00606949">
        <w:t xml:space="preserve"> estimates</w:t>
      </w:r>
      <w:r>
        <w:t xml:space="preserve"> the effect SJH operations have had on abundances of pink salmon at Indian River over time.  </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46F2249E" w:rsidR="00670218" w:rsidRDefault="00670218" w:rsidP="00A017CB">
      <w:pPr>
        <w:spacing w:after="0" w:line="480" w:lineRule="auto"/>
      </w:pPr>
      <w:r>
        <w:t xml:space="preserve">Data supporting this research </w:t>
      </w:r>
      <w:proofErr w:type="gramStart"/>
      <w:r>
        <w:t>are</w:t>
      </w:r>
      <w:proofErr w:type="gramEnd"/>
      <w:r>
        <w:t xml:space="preserve"> chiefly sourced from ADFG.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 xml:space="preserve">in the vicinity </w:t>
      </w:r>
      <w:r>
        <w:lastRenderedPageBreak/>
        <w:t>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p>
    <w:p w14:paraId="3BA8B996" w14:textId="77777777" w:rsidR="007F1518" w:rsidRDefault="00670218" w:rsidP="00A017CB">
      <w:pPr>
        <w:spacing w:after="0" w:line="480" w:lineRule="auto"/>
        <w:ind w:firstLine="360"/>
      </w:pPr>
      <w:r>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p>
    <w:p w14:paraId="1B42280F" w14:textId="69D56C4D" w:rsidR="00670218" w:rsidRDefault="00670218" w:rsidP="00A017CB">
      <w:pPr>
        <w:spacing w:after="0" w:line="480" w:lineRule="auto"/>
        <w:ind w:firstLine="360"/>
      </w:pPr>
      <w:r>
        <w:t xml:space="preserve">SJH also must provide ADFG with publicly available hatchery operation reports each year. These annual reports provide the number of </w:t>
      </w:r>
      <w:r w:rsidR="004217D3">
        <w:t>salmon</w:t>
      </w:r>
      <w:r>
        <w:t xml:space="preserve"> juveniles </w:t>
      </w:r>
      <w:r w:rsidR="004217D3">
        <w:t xml:space="preserve">reared and </w:t>
      </w:r>
      <w:r>
        <w:t>released, estimates of the number of hatchery-raised adult salmon which survive the marine environment</w:t>
      </w:r>
      <w:r w:rsidR="00C64BF8">
        <w:t>, estimates of the hatchery’s contributions to common</w:t>
      </w:r>
      <w:r w:rsidR="004217D3">
        <w:t xml:space="preserve"> </w:t>
      </w:r>
      <w:r w:rsidR="00C64BF8">
        <w:t xml:space="preserve">property </w:t>
      </w:r>
      <w:r w:rsidR="001D51EA">
        <w:t xml:space="preserve">commercial </w:t>
      </w:r>
      <w:r w:rsidR="00C64BF8">
        <w:t>fisheries</w:t>
      </w:r>
      <w:r w:rsidR="001D51EA">
        <w:t xml:space="preserve"> (as well as sport and subsistence fisheries)</w:t>
      </w:r>
      <w:r w:rsidR="00C64BF8">
        <w:t>,</w:t>
      </w:r>
      <w:r>
        <w:t xml:space="preserve"> and </w:t>
      </w:r>
      <w:r w:rsidR="00C64BF8">
        <w:t xml:space="preserve">estimates of numbers of adult fish which </w:t>
      </w:r>
      <w:r>
        <w:t>return to the hatchery</w:t>
      </w:r>
      <w:r w:rsidR="001D51EA">
        <w:t xml:space="preserve"> and are taken as cost recovery or as broodstock</w:t>
      </w:r>
      <w:r>
        <w:t>.</w:t>
      </w:r>
    </w:p>
    <w:p w14:paraId="5339CDA4" w14:textId="38222593" w:rsidR="0006107E" w:rsidRDefault="0006107E" w:rsidP="00A017CB">
      <w:pPr>
        <w:spacing w:after="0" w:line="480" w:lineRule="auto"/>
        <w:ind w:firstLine="360"/>
      </w:pPr>
      <w:r>
        <w:t xml:space="preserve">This research also leverages data on </w:t>
      </w:r>
      <w:r w:rsidR="0091309E">
        <w:t xml:space="preserve">relevant </w:t>
      </w:r>
      <w:r>
        <w:t xml:space="preserve">ocean climate in the form of the Pacific Decadal Oscillation (PDO) as recorded by the US National Oceanic and Atmospheric Administration. </w:t>
      </w:r>
      <w:r w:rsidR="0091309E">
        <w:t>This recurring pattern of North Pacific sea surface temperature has been shown to be robustly correlated with salmon production regimes off the coast of Alaska (Mantua et al.</w:t>
      </w:r>
      <w:r w:rsidR="004C58F2">
        <w:t xml:space="preserve"> 1997)</w:t>
      </w:r>
      <w:r w:rsidR="002A355E">
        <w:t>.</w:t>
      </w:r>
    </w:p>
    <w:p w14:paraId="41E95660" w14:textId="77777777" w:rsidR="00143CB9" w:rsidRPr="00C64BF8" w:rsidRDefault="00143CB9" w:rsidP="00C64BF8">
      <w:pPr>
        <w:spacing w:after="0" w:line="480" w:lineRule="auto"/>
        <w:rPr>
          <w:b/>
          <w:bCs/>
        </w:rPr>
      </w:pPr>
    </w:p>
    <w:p w14:paraId="79048D7D" w14:textId="6F12DE5C" w:rsidR="00670218" w:rsidRPr="00C64BF8" w:rsidRDefault="00670218" w:rsidP="00C64BF8">
      <w:pPr>
        <w:spacing w:after="0" w:line="480" w:lineRule="auto"/>
        <w:rPr>
          <w:b/>
          <w:bCs/>
        </w:rPr>
      </w:pPr>
      <w:r w:rsidRPr="00C64BF8">
        <w:rPr>
          <w:b/>
          <w:bCs/>
        </w:rPr>
        <w:t>MARSS Models</w:t>
      </w:r>
    </w:p>
    <w:p w14:paraId="3EB4F13E" w14:textId="2259B979" w:rsidR="00670218" w:rsidRDefault="00670218" w:rsidP="00C64BF8">
      <w:pPr>
        <w:spacing w:after="0" w:line="480" w:lineRule="auto"/>
      </w:pPr>
      <w:r>
        <w:t xml:space="preserve">Multivariate autoregressive state-space (MARSS) models are well suited for parsing long running time series survey </w:t>
      </w:r>
      <w:r w:rsidR="00A017CB">
        <w:t>data and</w:t>
      </w:r>
      <w:r>
        <w:t xml:space="preserve"> designed to mathematically distinguish observation error from error arising from stochasticity in the underlying state of a system. This feature is useful when parsing data collected by different observers operating in differing conditions (weather, time of day, 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2B3AAC17" w14:textId="77777777" w:rsidR="00143CB9" w:rsidRDefault="00143CB9" w:rsidP="00612D9D">
      <w:pPr>
        <w:pStyle w:val="ListParagraph"/>
        <w:spacing w:after="0" w:line="480" w:lineRule="auto"/>
        <w:ind w:left="360"/>
      </w:pPr>
    </w:p>
    <w:p w14:paraId="0E4FB76A" w14:textId="3EB09B15" w:rsidR="00670218" w:rsidRDefault="00670218" w:rsidP="00C64BF8">
      <w:pPr>
        <w:spacing w:after="0" w:line="480" w:lineRule="auto"/>
      </w:pPr>
      <w:r>
        <w:t xml:space="preserve">In the above, observed data </w:t>
      </w:r>
      <w:proofErr w:type="gramStart"/>
      <w:r>
        <w:t>in a given</w:t>
      </w:r>
      <w:proofErr w:type="gramEnd"/>
      <w:r>
        <w:t xml:space="preserve"> </w:t>
      </w:r>
      <w:proofErr w:type="gramStart"/>
      <w:r>
        <w:t>time period</w:t>
      </w:r>
      <w:proofErr w:type="gramEnd"/>
      <w:r>
        <w:t xml:space="preserv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are used to estimate the underlying state of a system of interest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w:t>
      </w:r>
      <w:r>
        <w:lastRenderedPageBreak/>
        <w:t xml:space="preserve">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w:t>
      </w:r>
      <w:r w:rsidR="00232D52">
        <w:t xml:space="preserve"> </w:t>
      </w:r>
      <w:r>
        <w:t xml:space="preserve">is defined by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w:t>
      </w:r>
      <w:proofErr w:type="gramStart"/>
      <w:r>
        <w:t>mean</w:t>
      </w:r>
      <w:proofErr w:type="gramEnd"/>
      <w:r>
        <w:t xml:space="preserve"> and how quickly the time series would return to the </w:t>
      </w:r>
      <w:proofErr w:type="gramStart"/>
      <w:r>
        <w:t>mean</w:t>
      </w:r>
      <w:proofErr w:type="gramEnd"/>
      <w:r>
        <w:t xml:space="preserve"> following some perturbation. </w:t>
      </w:r>
      <w:r w:rsidR="00232D52">
        <w:t>T</w:t>
      </w:r>
      <w:r>
        <w:t>he correlation of process error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46C60B32" w:rsidR="00670218" w:rsidRDefault="00670218" w:rsidP="00C64BF8">
      <w:pPr>
        <w:spacing w:after="0" w:line="480" w:lineRule="auto"/>
      </w:pPr>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r w:rsidR="00FC2324">
        <w:t xml:space="preserve">Data is standardized at the stream level so that streams of varying available pink salmon habitat may be directly compared. </w:t>
      </w:r>
      <w:r>
        <w:t xml:space="preserve">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w:t>
      </w:r>
      <w:r>
        <w:lastRenderedPageBreak/>
        <w:t>against which Indian River pink salmon abundances will be compared. T</w:t>
      </w:r>
      <w:r w:rsidR="00F8028C">
        <w:t xml:space="preserve">he </w:t>
      </w:r>
      <w:r>
        <w:t xml:space="preserve">most parsimonious model as defined by </w:t>
      </w:r>
      <w:proofErr w:type="spellStart"/>
      <w:r>
        <w:t>AIC</w:t>
      </w:r>
      <w:r w:rsidR="00572D2B">
        <w:t>c</w:t>
      </w:r>
      <w:proofErr w:type="spellEnd"/>
      <w:r>
        <w:t xml:space="preserve">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w:t>
      </w:r>
      <w:r w:rsidR="00572D2B">
        <w:t xml:space="preserve"> (</w:t>
      </w:r>
      <w:proofErr w:type="spellStart"/>
      <w:r w:rsidR="00572D2B">
        <w:t>AICc</w:t>
      </w:r>
      <w:proofErr w:type="spellEnd"/>
      <w:r w:rsidR="00572D2B">
        <w:t xml:space="preserve"> is chosen here due to the relatively small number of Indian River observations)</w:t>
      </w:r>
      <w:r>
        <w:t>. This is consistent with non-quantitative intuition if indeed the presence of SJH creates conditions that differ from a “natural” state. No trends are estimated for the observation process, but the model allows for distinct trends in both 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00376A4E">
        <w:t xml:space="preserve">the prior year’s </w:t>
      </w:r>
      <w:r>
        <w:t>ocean climate</w:t>
      </w:r>
      <w:r w:rsidR="007B55B0">
        <w:t xml:space="preserve"> via lagged PDO</w:t>
      </w:r>
      <w:r>
        <w:t xml:space="preserv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08EB7337" w14:textId="4FD0B48D" w:rsidR="00344905"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average state of pink salmon abundance in index streams (recall that index streams are selected by ADFG due to their not being heavily influenced by human activity). </w:t>
      </w:r>
      <w:r w:rsidR="00FC2324">
        <w:t xml:space="preserve">These two resulting time series are comparable due to the model being trained on standardized data. </w:t>
      </w:r>
      <w:r>
        <w:t xml:space="preserve">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r w:rsidR="006B5A94">
        <w:t xml:space="preserve"> </w:t>
      </w:r>
    </w:p>
    <w:p w14:paraId="4426ED39" w14:textId="6D5D47FF" w:rsidR="00670218" w:rsidRDefault="006B5A94" w:rsidP="003C6E79">
      <w:pPr>
        <w:spacing w:after="0" w:line="480" w:lineRule="auto"/>
        <w:ind w:firstLine="720"/>
      </w:pPr>
      <w:r>
        <w:lastRenderedPageBreak/>
        <w:t xml:space="preserve">While there is no single statistical test that evaluates </w:t>
      </w:r>
      <w:r w:rsidR="00344905">
        <w:t>whether</w:t>
      </w:r>
      <w:r>
        <w:t xml:space="preserve">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w:t>
      </w:r>
      <w:r w:rsidR="00344905">
        <w:t>requires</w:t>
      </w:r>
      <w:r>
        <w:t xml:space="preserve"> that both time series be stationary, meaning that the variance, mean, and autocorrelation are not changing over time (i.e. the data’s behavior is independent of </w:t>
      </w:r>
      <w:r w:rsidR="00344905">
        <w:t xml:space="preserve">time). </w:t>
      </w:r>
      <w:r w:rsidR="0080336B">
        <w:t xml:space="preserve">This property </w:t>
      </w:r>
      <w:r w:rsidR="00731AF8">
        <w:t>is</w:t>
      </w:r>
      <w:r w:rsidR="0080336B">
        <w:t xml:space="preserve">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w:t>
      </w:r>
      <w:r w:rsidR="00344905">
        <w:t>Any time series which includes some long-term trend or seasonality is likely not stationary, and so it is commonplace to difference time series data by taking the difference between successive observations to “detrend” the data (</w:t>
      </w:r>
      <w:proofErr w:type="spellStart"/>
      <w:r w:rsidR="00344905">
        <w:rPr>
          <w:rFonts w:cstheme="minorHAnsi"/>
        </w:rPr>
        <w:t>Δ</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proofErr w:type="spellEnd"/>
      <w:r w:rsidR="00344905">
        <w:rPr>
          <w:rFonts w:cstheme="minorHAnsi"/>
        </w:rPr>
        <w:t xml:space="preserve"> = </w:t>
      </w:r>
      <w:proofErr w:type="spellStart"/>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proofErr w:type="spellEnd"/>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ascii="MathJax_Math-italic" w:eastAsia="Times New Roman" w:hAnsi="MathJax_Math-italic" w:cs="Times New Roman"/>
          <w:kern w:val="0"/>
          <w:sz w:val="26"/>
          <w:szCs w:val="26"/>
          <w:bdr w:val="none" w:sz="0" w:space="0" w:color="auto" w:frame="1"/>
          <w:vertAlign w:val="subscript"/>
          <w14:ligatures w14:val="none"/>
        </w:rPr>
        <w:t>-1</w:t>
      </w:r>
      <w:r w:rsidR="00344905">
        <w:t xml:space="preserve">). </w:t>
      </w:r>
      <w:r w:rsidR="00731AF8">
        <w:t xml:space="preserve">Once differenced, </w:t>
      </w:r>
      <w:r w:rsidR="00344905">
        <w:t>mean</w:t>
      </w:r>
      <w:r w:rsidR="00731AF8">
        <w:t>s</w:t>
      </w:r>
      <w:r w:rsidR="00344905">
        <w:t xml:space="preserve"> and variance</w:t>
      </w:r>
      <w:r w:rsidR="00731AF8">
        <w:t>s</w:t>
      </w:r>
      <w:r w:rsidR="00344905">
        <w:t xml:space="preserve"> of t</w:t>
      </w:r>
      <w:r w:rsidR="00731AF8">
        <w:t>hese time series may</w:t>
      </w:r>
      <w:r w:rsidR="00344905">
        <w:t xml:space="preserve"> then </w:t>
      </w:r>
      <w:r w:rsidR="00731AF8">
        <w:t>be</w:t>
      </w:r>
      <w:r w:rsidR="00344905">
        <w:t xml:space="preserve"> compared</w:t>
      </w:r>
      <w:r w:rsidR="000D21FB">
        <w:t xml:space="preserve"> using a t-test and F-test respectively</w:t>
      </w:r>
      <w:r w:rsidR="00344905">
        <w:t>.</w:t>
      </w:r>
      <w:r w:rsidR="000D21FB">
        <w:t xml:space="preserve"> The trends can likewise be estimated using simple linear regression and compared using Welch’s t-test.</w:t>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t>Effect of Hatchery Operations</w:t>
      </w:r>
    </w:p>
    <w:p w14:paraId="0B1FBCFC" w14:textId="77777777" w:rsidR="00670218" w:rsidRDefault="00670218" w:rsidP="00C64BF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w:t>
      </w:r>
      <w:r>
        <w:lastRenderedPageBreak/>
        <w:t>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w:t>
      </w:r>
      <w:proofErr w:type="spellStart"/>
      <w:r>
        <w:t>Stopha</w:t>
      </w:r>
      <w:proofErr w:type="spellEnd"/>
      <w:r>
        <w:t xml:space="preserve"> 2015). </w:t>
      </w:r>
    </w:p>
    <w:p w14:paraId="670E76FF" w14:textId="77777777" w:rsidR="00670218" w:rsidRDefault="00670218" w:rsidP="00C64BF8">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proofErr w:type="gram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proofErr w:type="gramEnd"/>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rPr>
          <w:rFonts w:ascii="MathJax_Math-italic" w:eastAsia="Times New Roman" w:hAnsi="MathJax_Math-italic" w:cs="Times New Roman"/>
          <w:kern w:val="0"/>
          <w:sz w:val="26"/>
          <w:szCs w:val="26"/>
          <w:bdr w:val="none" w:sz="0" w:space="0" w:color="auto" w:frame="1"/>
          <w:vertAlign w:val="subscript"/>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p>
    <w:p w14:paraId="6CAEED60" w14:textId="77777777" w:rsidR="00143CB9" w:rsidRDefault="00143CB9" w:rsidP="00612D9D">
      <w:pPr>
        <w:pStyle w:val="ListParagraph"/>
        <w:spacing w:after="0" w:line="480" w:lineRule="auto"/>
        <w:ind w:left="360"/>
      </w:pPr>
    </w:p>
    <w:p w14:paraId="5706F059" w14:textId="25EA506F" w:rsidR="00670218" w:rsidRDefault="00670218" w:rsidP="00C64BF8">
      <w:pPr>
        <w:spacing w:after="0" w:line="480" w:lineRule="auto"/>
      </w:pPr>
      <w:r>
        <w:t xml:space="preserve">In the above, </w:t>
      </w:r>
      <w:proofErr w:type="spellStart"/>
      <w:r w:rsidRPr="00C64BF8">
        <w:rPr>
          <w:rFonts w:ascii="MathJax_Math-italic" w:eastAsia="Times New Roman" w:hAnsi="MathJax_Math-italic" w:cs="Times New Roman"/>
          <w:kern w:val="0"/>
          <w:sz w:val="26"/>
          <w:szCs w:val="26"/>
          <w:bdr w:val="none" w:sz="0" w:space="0" w:color="auto" w:frame="1"/>
          <w14:ligatures w14:val="none"/>
        </w:rPr>
        <w:t>i</w:t>
      </w:r>
      <w:proofErr w:type="spellEnd"/>
      <w:r>
        <w:t xml:space="preserve"> indexes whether an observation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proofErr w:type="spellStart"/>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t xml:space="preserve"> is equal to 1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part of the treatment group and equal to 0 otherwise. Similarly</w:t>
      </w:r>
      <w:r w:rsidR="003C5745">
        <w:t>,</w:t>
      </w:r>
      <w:r>
        <w:t xml:space="preserve"> </w:t>
      </w:r>
      <w:proofErr w:type="spellStart"/>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proofErr w:type="spellEnd"/>
      <w:r>
        <w:t xml:space="preserve"> is equal to 1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after treatment is applied, and equal to 0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Additional control covariates may be included to further isolate the effects of interest. Crucially, input data must cover both a control and treatment group, as well </w:t>
      </w:r>
      <w:r>
        <w:lastRenderedPageBreak/>
        <w:t xml:space="preserve">as time periods before and after the intervention of interest. It is important to note that in this case, and indeed in almost every application of DD modeling, true controls in </w:t>
      </w:r>
      <w:r w:rsidR="00773DA7">
        <w:t xml:space="preserve">the </w:t>
      </w:r>
      <w:r>
        <w:t>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w:t>
      </w:r>
      <w:r w:rsidR="008E7DF4">
        <w:t xml:space="preserve">, known as the parallel </w:t>
      </w:r>
      <w:proofErr w:type="gramStart"/>
      <w:r w:rsidR="008E7DF4">
        <w:t>trends</w:t>
      </w:r>
      <w:proofErr w:type="gramEnd"/>
      <w:r w:rsidR="008E7DF4">
        <w:t xml:space="preserve"> assumption,</w:t>
      </w:r>
      <w:r>
        <w:t xml:space="preserve"> is bolstered through the application of event studies which evaluate whether trends in control and treatment groups are mathematically similar in the pre-treatment period (Cunningham 2021).</w:t>
      </w:r>
    </w:p>
    <w:p w14:paraId="5D16AA19" w14:textId="431A9869" w:rsidR="00670218" w:rsidRDefault="00670218" w:rsidP="00C64BF8">
      <w:pPr>
        <w:spacing w:after="0" w:line="480" w:lineRule="auto"/>
        <w:ind w:firstLine="360"/>
      </w:pPr>
      <w:r>
        <w:t>Applying a DD framework to this research, observations of pink salmon abundances at Indian River are assigned to the treatment group while observations at</w:t>
      </w:r>
      <w:r w:rsidR="00044435">
        <w:t xml:space="preserve"> ADFG</w:t>
      </w:r>
      <w:r w:rsidR="00C874A9">
        <w:t xml:space="preserve">’s other </w:t>
      </w:r>
      <w:r w:rsidR="00C874A9" w:rsidRPr="003C6E79">
        <w:rPr>
          <w:i/>
          <w:iCs/>
        </w:rPr>
        <w:t>north southeast (outside)</w:t>
      </w:r>
      <w:r w:rsidR="00C874A9">
        <w:t xml:space="preserve"> </w:t>
      </w:r>
      <w:r w:rsidR="00044435">
        <w:t xml:space="preserve">index streams </w:t>
      </w:r>
      <w:r>
        <w:t xml:space="preserve">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w:t>
      </w:r>
      <w:r w:rsidR="00C16190">
        <w:t xml:space="preserve">As with the MARSS models of regional abundance, covariate data relating to observers and ocean climate are included in model specifications, with model fit evaluated using AIC. </w:t>
      </w:r>
      <w:r w:rsidR="00572D2B">
        <w:t xml:space="preserve">The best fit models are then evaluated to ensure that treatment and control groups </w:t>
      </w:r>
      <w:r w:rsidR="00572D2B">
        <w:lastRenderedPageBreak/>
        <w:t>are mathematically similar during the pre-treatment period</w:t>
      </w:r>
      <w:r w:rsidR="009721BE">
        <w:t xml:space="preserve"> (if these groups significantly differ, a synthetic control group may be constructed using a weighted average of untreated streams </w:t>
      </w:r>
      <w:r w:rsidR="00F12190">
        <w:t>to</w:t>
      </w:r>
      <w:r w:rsidR="009721BE">
        <w:t xml:space="preserve"> match the Indian River’s pre-treatment trend)</w:t>
      </w:r>
      <w:r w:rsidR="00572D2B">
        <w:t>.</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7777777" w:rsidR="00F4350E" w:rsidRDefault="004B019B" w:rsidP="00C64BF8">
      <w:pPr>
        <w:spacing w:after="0" w:line="480" w:lineRule="auto"/>
      </w:pPr>
      <w:r>
        <w:t>Finally</w:t>
      </w:r>
      <w:r w:rsidR="00670218">
        <w:t xml:space="preserve">, this research will move beyond the effect of SJH hatchery operations and focus on the effect of the number of fish released by the hatchery each year. While scarcity of available stray rate data makes a direct analysis of the impacts of straying impossible, MARSS models can estimate the impacts of hatchery releases on pink salmon abundance at Indian River (as well as the inverse). It is important to consider the effect of straying both to and from Indian River, as both would influence the abundances observed in stream. This can be accomplished using a MARSS model which incorporates observations of Indian River escapement, as well as estimates of adult spawners returning to SJH.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model will estimate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w:t>
      </w:r>
      <w:proofErr w:type="gramStart"/>
      <w:r>
        <w:t>a number of</w:t>
      </w:r>
      <w:proofErr w:type="gramEnd"/>
      <w:r>
        <w:t xml:space="preserve"> smolts which </w:t>
      </w:r>
      <w:proofErr w:type="gramStart"/>
      <w:r>
        <w:t>is</w:t>
      </w:r>
      <w:proofErr w:type="gramEnd"/>
      <w:r>
        <w:t xml:space="preserve">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 xml:space="preserve">covariate data relating to smolts reared by the hatchery from eggs taken </w:t>
      </w:r>
      <w:r w:rsidR="00F4350E">
        <w:lastRenderedPageBreak/>
        <w:t>from the previous brood year’s broodstock and released the prior year. This</w:t>
      </w:r>
      <w:r w:rsidR="00D56989">
        <w:t xml:space="preserve"> allow</w:t>
      </w:r>
      <w:r w:rsidR="00F4350E">
        <w:t>s</w:t>
      </w:r>
      <w:r w:rsidR="00D56989">
        <w:t xml:space="preserve"> the state of hatchery returners in the current year (</w:t>
      </w:r>
      <w:proofErr w:type="spellStart"/>
      <w:proofErr w:type="gramStart"/>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proofErr w:type="spellEnd"/>
      <w:proofErr w:type="gramEnd"/>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5"/>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proofErr w:type="spellStart"/>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proofErr w:type="spellEnd"/>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1"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2D97819" w:rsidR="00C3066D" w:rsidRDefault="00C3066D" w:rsidP="00F4350E">
      <w:pPr>
        <w:spacing w:after="0" w:line="480" w:lineRule="auto"/>
      </w:pPr>
      <w:r>
        <w:t>Figures 4 &amp; 5 describe the underlying state of Indian River pink salmon abundance relative to the underlying state representing an average pink salmon index stream in the surrounding region (even- and odd-year runs respectively). 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xml:space="preserve">, although odd-year Indian River runs take some years to </w:t>
      </w:r>
      <w:r w:rsidR="001A405D">
        <w:lastRenderedPageBreak/>
        <w:t>accomplish this and do not exceed this statistical average until 1997. From the middle 1990s onward, both runs are closely aligned with the average index stream, exceeding the average in some years and falling short in others, but in either case not by an amount that appears drastic when visually appraised.</w:t>
      </w:r>
    </w:p>
    <w:p w14:paraId="11C443BF" w14:textId="28C8E6F0" w:rsidR="001A405D" w:rsidRDefault="006A0FFE" w:rsidP="00F4350E">
      <w:pPr>
        <w:spacing w:after="0" w:line="480" w:lineRule="auto"/>
      </w:pPr>
      <w:r>
        <w:tab/>
        <w:t xml:space="preserve">Figures 4 &amp; 5 would seem to indicate that in pink salmon abundances observed in recent years at Indian River have not been out of the ordinary (and indeed, odd-year runs may have been considerably below average density from the 1960s until about 1995). However, plotting these time series is not enough to conclusively state that abundances at Indian River do not differ from those that would be expected of an average pink salmon index stream in the region in a statistically significant way. </w:t>
      </w:r>
      <w:r w:rsidR="00344905">
        <w:t xml:space="preserve">Table 1 describes the results of various statistical tests performed to evaluate the difference between these two time series for both even- and odd-year runs. </w:t>
      </w:r>
      <w:proofErr w:type="spellStart"/>
      <w:r w:rsidR="0080336B">
        <w:t>All time</w:t>
      </w:r>
      <w:proofErr w:type="spellEnd"/>
      <w:r w:rsidR="0080336B">
        <w:t xml:space="preserve"> series were found to be non-stationary when evaluated using ADF tests, but passed KPSS tests, suggesting they were each stationary around some trend (since these are annually observed data, seasonality was not considered).  </w:t>
      </w:r>
      <w:r w:rsidR="00C61B5A">
        <w:t xml:space="preserve">When differenced, time series describing even-year runs were found stationary by both statistical tests. However, time series describing odd-year runs required </w:t>
      </w:r>
      <w:r w:rsidR="000D21FB">
        <w:t>third</w:t>
      </w:r>
      <w:r w:rsidR="00C61B5A">
        <w:t xml:space="preserve"> order differencing</w:t>
      </w:r>
      <w:r w:rsidR="00421CE7">
        <w:t xml:space="preserve"> (</w:t>
      </w:r>
      <w:r w:rsidR="00421CE7">
        <w:rPr>
          <w:rFonts w:cstheme="minorHAnsi"/>
        </w:rPr>
        <w:t>Δ</w:t>
      </w:r>
      <w:r w:rsidR="00421CE7" w:rsidRPr="00421CE7">
        <w:rPr>
          <w:rFonts w:cstheme="minorHAnsi"/>
          <w:vertAlign w:val="superscript"/>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Δ(Δ</w:t>
      </w:r>
      <w:r w:rsidR="00421CE7">
        <w:rPr>
          <w:rFonts w:cstheme="minorHAnsi"/>
          <w:vertAlign w:val="superscript"/>
        </w:rPr>
        <w:t>2</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w:t>
      </w:r>
      <w:proofErr w:type="spellStart"/>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proofErr w:type="spellEnd"/>
      <w:r w:rsidR="00421CE7">
        <w:rPr>
          <w:rFonts w:cstheme="minorHAnsi"/>
        </w:rPr>
        <w:t xml:space="preserve"> - 3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-1 </w:t>
      </w:r>
      <w:r w:rsidR="00421CE7">
        <w:rPr>
          <w:rFonts w:cstheme="minorHAnsi"/>
        </w:rPr>
        <w:t>- 3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-2</w:t>
      </w:r>
      <w:r w:rsidR="00C61B5A">
        <w:t xml:space="preserve"> </w:t>
      </w:r>
      <w:r w:rsidR="00421CE7">
        <w:t xml:space="preserve">-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w:t>
      </w:r>
      <w:proofErr w:type="gramStart"/>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3 </w:t>
      </w:r>
      <w:r w:rsidR="00421CE7">
        <w:t>)</w:t>
      </w:r>
      <w:proofErr w:type="gramEnd"/>
      <w:r w:rsidR="00421CE7">
        <w:t xml:space="preserve"> before ADF tests determined them to be stationary. </w:t>
      </w:r>
      <w:r w:rsidR="00F66F22">
        <w:t xml:space="preserve">This level of differencing indicates the need to compensate for some complex cubic trend in the time series and risks over-differencing, which may introduce noise and dampen information related to long-term trends. </w:t>
      </w:r>
      <w:r w:rsidR="000D21FB">
        <w:t xml:space="preserve">While initial (first order) differencing of the odd-year time series did not yield statistically stationary results, ADF tests estimated test statistics within 20% of the significance thresholds (i.e., &gt;80% </w:t>
      </w:r>
      <w:r w:rsidR="000D21FB">
        <w:lastRenderedPageBreak/>
        <w:t>confidence these time series are stationary). Both sets of differenced odd-year time series (first order and third order) are compared in Table 1.</w:t>
      </w:r>
    </w:p>
    <w:p w14:paraId="09E780EF" w14:textId="6B920B1A" w:rsidR="00FC2324" w:rsidRPr="00C3066D" w:rsidRDefault="000D21FB" w:rsidP="00F4350E">
      <w:pPr>
        <w:spacing w:after="0" w:line="480" w:lineRule="auto"/>
      </w:pPr>
      <w:r>
        <w:tab/>
        <w:t>For even-year runs, no significant lags are observed once the time series are differenced to compensate for linear trends. The means and variances of these differenced time series are not found to significantly differ</w:t>
      </w:r>
      <w:r w:rsidR="00FC2324">
        <w:t>, and Welch’s t-test finds that the trends are likewise not statistically different</w:t>
      </w:r>
      <w:r>
        <w:t>.</w:t>
      </w:r>
      <w:r w:rsidR="00FC2324">
        <w:t xml:space="preserve"> Based on these four characteristics it may be said with some confidence that even-year pink salmon abundances observed at Indian River are very much in line with those that might be expected of an average stream in the </w:t>
      </w:r>
      <w:r w:rsidR="00FC2324" w:rsidRPr="003C6E79">
        <w:rPr>
          <w:i/>
          <w:iCs/>
        </w:rPr>
        <w:t>north southeast (outside)</w:t>
      </w:r>
      <w:r w:rsidR="00FC2324">
        <w:t xml:space="preserve"> region. The picture is much less clear for odd-year runs. </w:t>
      </w:r>
      <w:r w:rsidR="00B50797">
        <w:t xml:space="preserve">While both the first and third order differenced time series show no significant difference in terms of mean or variance, the trends estimated in both cases are not the same. Additionally, both sets of time series show significant first lags, meaning there is likely some persistent autocorrelation, even despite the third order differencing! It is therefore impossible to conclude that odd-year pink salmon abundances observed at Indian River are in line with regional expectations. Returning to Figure 5, this may be due to the </w:t>
      </w:r>
      <w:r w:rsidR="005B1667">
        <w:t xml:space="preserve">large </w:t>
      </w:r>
      <w:r w:rsidR="00B50797">
        <w:t xml:space="preserve">differences between time series observed during the period from 1961-1995.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7EF4F367" w14:textId="0291F4BD" w:rsidR="00376A4E" w:rsidRDefault="00773DA7" w:rsidP="00F4350E">
      <w:pPr>
        <w:spacing w:after="0" w:line="480" w:lineRule="auto"/>
      </w:pPr>
      <w:r>
        <w:t xml:space="preserve">Difference-in-difference </w:t>
      </w:r>
      <w:r w:rsidR="008E7DF4">
        <w:t xml:space="preserve">studies </w:t>
      </w:r>
      <w:r>
        <w:t xml:space="preserve">were undertaken to evaluate both the effect of SJH operations on pink salmon abundances at Indian River (treatment year = 1980), as well as the effect of SJH’s expansion of permitted pink salmon releases from 1 million to 3 million (treatment year = 2010). </w:t>
      </w:r>
      <w:r w:rsidR="00BB4FE2">
        <w:t>M</w:t>
      </w:r>
      <w:r w:rsidR="00376A4E">
        <w:t xml:space="preserve">odels pertaining to each run </w:t>
      </w:r>
      <w:r w:rsidR="007B55B0">
        <w:t xml:space="preserve">(even- and odd-year) </w:t>
      </w:r>
      <w:r w:rsidR="002A355E">
        <w:t xml:space="preserve">and </w:t>
      </w:r>
      <w:r w:rsidR="00376A4E">
        <w:t xml:space="preserve">treatment period </w:t>
      </w:r>
      <w:r w:rsidR="007B55B0">
        <w:t xml:space="preserve">(1980 and </w:t>
      </w:r>
      <w:r w:rsidR="007B55B0">
        <w:lastRenderedPageBreak/>
        <w:t xml:space="preserve">2010) </w:t>
      </w:r>
      <w:r w:rsidR="00376A4E">
        <w:t>were specified</w:t>
      </w:r>
      <w:r w:rsidR="00BB4FE2">
        <w:t xml:space="preserve"> in four ways:</w:t>
      </w:r>
      <w:r w:rsidR="00376A4E">
        <w:t xml:space="preserve"> control</w:t>
      </w:r>
      <w:r w:rsidR="00BB4FE2">
        <w:t>ling</w:t>
      </w:r>
      <w:r w:rsidR="00376A4E">
        <w:t xml:space="preserve"> for the prior year’s ocean climate</w:t>
      </w:r>
      <w:r w:rsidR="007B55B0">
        <w:t xml:space="preserve"> via lagged PDO</w:t>
      </w:r>
      <w:r w:rsidR="00376A4E">
        <w:t xml:space="preserve">, </w:t>
      </w:r>
      <w:r w:rsidR="00BB4FE2">
        <w:t xml:space="preserve">controlling for </w:t>
      </w:r>
      <w:r w:rsidR="00376A4E">
        <w:t xml:space="preserve">the </w:t>
      </w:r>
      <w:r w:rsidR="002A355E">
        <w:t xml:space="preserve">biologist conducting each observation, </w:t>
      </w:r>
      <w:r w:rsidR="00BB4FE2">
        <w:t xml:space="preserve">controlling for </w:t>
      </w:r>
      <w:r w:rsidR="002A355E">
        <w:t xml:space="preserve">both of these sets of covariates, and no </w:t>
      </w:r>
      <w:r w:rsidR="00BB4FE2">
        <w:t xml:space="preserve">including no </w:t>
      </w:r>
      <w:r w:rsidR="002A355E">
        <w:t xml:space="preserve">covariates (only dummy indicators of time period and treatment group). From these, the </w:t>
      </w:r>
      <w:r w:rsidR="007B55B0">
        <w:t>best fit model was selected using AIC, with the most parsimonious model being chosen in cases where AIC values were within 2 of one another.</w:t>
      </w:r>
    </w:p>
    <w:p w14:paraId="19D43027" w14:textId="21EF8CDD" w:rsidR="008E7DF4" w:rsidRDefault="008E7DF4" w:rsidP="00376A4E">
      <w:pPr>
        <w:spacing w:after="0" w:line="480" w:lineRule="auto"/>
        <w:ind w:firstLine="720"/>
      </w:pPr>
      <w:r>
        <w:t xml:space="preserve">As mentioned above, a necessary pre-condition of difference-in-difference models is the satisfaction of the parallel </w:t>
      </w:r>
      <w:proofErr w:type="gramStart"/>
      <w:r>
        <w:t>trends</w:t>
      </w:r>
      <w:proofErr w:type="gramEnd"/>
      <w:r>
        <w:t xml:space="preserve"> assumption, which asserts that treatment and control groups</w:t>
      </w:r>
      <w:r w:rsidR="009C0C6B">
        <w:t xml:space="preserve"> must be</w:t>
      </w:r>
      <w:r>
        <w:t xml:space="preserve"> mathematically similar in the pre-treatment period.</w:t>
      </w:r>
      <w:r w:rsidR="008F33A8">
        <w:t xml:space="preserve"> Event studies in the form of simple linear models were undertaken to support this assumption. These models are structured to isolate the effect of Indian River on pink salmon abundances during pre-treatment periods, as illustrated below:</w:t>
      </w:r>
    </w:p>
    <w:p w14:paraId="2875F5A1" w14:textId="77777777" w:rsidR="008F33A8" w:rsidRDefault="008F33A8" w:rsidP="00F4350E">
      <w:pPr>
        <w:spacing w:after="0" w:line="480" w:lineRule="auto"/>
      </w:pPr>
    </w:p>
    <w:p w14:paraId="3104ABB3" w14:textId="1BCE0C3D" w:rsidR="008F33A8" w:rsidRPr="008F33A8" w:rsidRDefault="008F33A8" w:rsidP="008F33A8">
      <w:pPr>
        <w:spacing w:after="0" w:line="480" w:lineRule="auto"/>
        <w:jc w:val="center"/>
        <w:rPr>
          <w:rFonts w:ascii="Times New Roman" w:eastAsia="Times New Roman" w:hAnsi="Times New Roman" w:cs="Times New Roman"/>
          <w:kern w:val="0"/>
          <w:sz w:val="26"/>
          <w:szCs w:val="26"/>
          <w14:ligatures w14:val="none"/>
        </w:rPr>
      </w:pP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p>
    <w:p w14:paraId="0C54D086" w14:textId="77777777" w:rsidR="008F33A8" w:rsidRDefault="008F33A8" w:rsidP="00F4350E">
      <w:pPr>
        <w:spacing w:after="0" w:line="480" w:lineRule="auto"/>
      </w:pPr>
    </w:p>
    <w:p w14:paraId="4A2F5397" w14:textId="1BBE242F" w:rsidR="00C3066D" w:rsidRPr="00C3066D" w:rsidRDefault="00647DF2" w:rsidP="00F4350E">
      <w:pPr>
        <w:spacing w:after="0" w:line="480" w:lineRule="auto"/>
      </w:pPr>
      <w:r>
        <w:t xml:space="preserve">Here, the variable </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w:t>
      </w:r>
      <w:proofErr w:type="spellEnd"/>
      <w:r>
        <w:rPr>
          <w:rFonts w:ascii="MathJax_Math-italic" w:eastAsia="Times New Roman" w:hAnsi="MathJax_Math-italic" w:cs="Times New Roman"/>
          <w:kern w:val="0"/>
          <w:sz w:val="26"/>
          <w:szCs w:val="26"/>
          <w:bdr w:val="none" w:sz="0" w:space="0" w:color="auto" w:frame="1"/>
          <w:vertAlign w:val="subscript"/>
          <w14:ligatures w14:val="none"/>
        </w:rPr>
        <w:t xml:space="preserve"> River </w:t>
      </w:r>
      <w:r>
        <w:t xml:space="preserve">indicates </w:t>
      </w:r>
      <w:proofErr w:type="gramStart"/>
      <w:r>
        <w:t>whether or not</w:t>
      </w:r>
      <w:proofErr w:type="gramEnd"/>
      <w:r>
        <w:t xml:space="preserve"> an observation was taken at Indian River</w:t>
      </w:r>
      <w:r w:rsidR="006B1A2E">
        <w:t xml:space="preserve"> (</w:t>
      </w:r>
      <w:proofErr w:type="spellStart"/>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w:t>
      </w:r>
      <w:proofErr w:type="spellEnd"/>
      <w:r w:rsidR="006B1A2E">
        <w:rPr>
          <w:rFonts w:ascii="MathJax_Math-italic" w:eastAsia="Times New Roman" w:hAnsi="MathJax_Math-italic" w:cs="Times New Roman"/>
          <w:kern w:val="0"/>
          <w:sz w:val="26"/>
          <w:szCs w:val="26"/>
          <w:bdr w:val="none" w:sz="0" w:space="0" w:color="auto" w:frame="1"/>
          <w:vertAlign w:val="subscript"/>
          <w14:ligatures w14:val="none"/>
        </w:rPr>
        <w:t xml:space="preserve"> River</w:t>
      </w:r>
      <w:r w:rsidR="006B1A2E">
        <w:t xml:space="preserve"> = 1)</w:t>
      </w:r>
      <w:r>
        <w:t xml:space="preserve"> or elsewhere in the </w:t>
      </w:r>
      <w:r w:rsidRPr="003C6E79">
        <w:rPr>
          <w:i/>
          <w:iCs/>
        </w:rPr>
        <w:t>north southeast (outside)</w:t>
      </w:r>
      <w:r>
        <w:t xml:space="preserve"> region</w:t>
      </w:r>
      <w:r w:rsidR="006B1A2E">
        <w:t xml:space="preserve"> (</w:t>
      </w:r>
      <w:proofErr w:type="spellStart"/>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w:t>
      </w:r>
      <w:proofErr w:type="spellEnd"/>
      <w:r w:rsidR="006B1A2E">
        <w:rPr>
          <w:rFonts w:ascii="MathJax_Math-italic" w:eastAsia="Times New Roman" w:hAnsi="MathJax_Math-italic" w:cs="Times New Roman"/>
          <w:kern w:val="0"/>
          <w:sz w:val="26"/>
          <w:szCs w:val="26"/>
          <w:bdr w:val="none" w:sz="0" w:space="0" w:color="auto" w:frame="1"/>
          <w:vertAlign w:val="subscript"/>
          <w14:ligatures w14:val="none"/>
        </w:rPr>
        <w:t xml:space="preserve"> River</w:t>
      </w:r>
      <w:r w:rsidR="006B1A2E">
        <w:t xml:space="preserve"> = 0)</w:t>
      </w:r>
      <w:r>
        <w:t xml:space="preserve">. </w:t>
      </w:r>
      <w:r w:rsidR="006B1A2E">
        <w:t>If indeed treatment and control groups are similar during the pre-treatment period, then the effect of Indian River on pink salmon abundances (</w:t>
      </w:r>
      <w:r w:rsidR="006B1A2E" w:rsidRPr="00530885">
        <w:rPr>
          <w:rFonts w:ascii="MathJax_Math-italic" w:eastAsia="Times New Roman" w:hAnsi="MathJax_Math-italic" w:cs="Times New Roman"/>
          <w:kern w:val="0"/>
          <w:sz w:val="26"/>
          <w:szCs w:val="26"/>
          <w:bdr w:val="none" w:sz="0" w:space="0" w:color="auto" w:frame="1"/>
          <w14:ligatures w14:val="none"/>
        </w:rPr>
        <w:t>β</w:t>
      </w:r>
      <w:r w:rsidR="006B1A2E">
        <w:rPr>
          <w:rFonts w:ascii="MathJax_Math-italic" w:eastAsia="Times New Roman" w:hAnsi="MathJax_Math-italic" w:cs="Times New Roman"/>
          <w:kern w:val="0"/>
          <w:sz w:val="26"/>
          <w:szCs w:val="26"/>
          <w:bdr w:val="none" w:sz="0" w:space="0" w:color="auto" w:frame="1"/>
          <w:vertAlign w:val="subscript"/>
          <w14:ligatures w14:val="none"/>
        </w:rPr>
        <w:t>1</w:t>
      </w:r>
      <w:r w:rsidR="006B1A2E">
        <w:t xml:space="preserve">) should </w:t>
      </w:r>
      <w:r w:rsidR="00D45C26">
        <w:t xml:space="preserve">not </w:t>
      </w:r>
      <w:r w:rsidR="006B1A2E">
        <w:t xml:space="preserve">be statistically significant. </w:t>
      </w:r>
      <w:r>
        <w:t>T</w:t>
      </w:r>
      <w:r w:rsidR="00773DA7">
        <w:t xml:space="preserve">able 2 describes the effect of </w:t>
      </w:r>
      <w:r w:rsidR="00376A4E">
        <w:t xml:space="preserve">Indian River </w:t>
      </w:r>
      <w:r w:rsidR="00BB4FE2">
        <w:t xml:space="preserve">in the pre-treatment period in all four models. </w:t>
      </w:r>
      <w:r w:rsidR="0033098E">
        <w:t xml:space="preserve">For even-year runs there exists some significant difference between trends at Indian River and elsewhere in the region prior to 1980. Due to this difference, a synthetic control group time series was </w:t>
      </w:r>
      <w:r w:rsidR="0033098E">
        <w:lastRenderedPageBreak/>
        <w:t>constructed for comparison with the treatment group. All other models satisfy the parallel trends assumption.</w:t>
      </w:r>
    </w:p>
    <w:p w14:paraId="6D6BBACD" w14:textId="61BB68E0" w:rsidR="00C3066D" w:rsidRDefault="00CD3E62" w:rsidP="00F4350E">
      <w:pPr>
        <w:spacing w:after="0" w:line="480" w:lineRule="auto"/>
        <w:rPr>
          <w:b/>
          <w:bCs/>
        </w:rPr>
      </w:pPr>
      <w:r>
        <w:tab/>
        <w:t>Table 3 describes the results of these difference-in-difference studies. The effect of SJH operations commencing in 1980 is shown to have driven a significant increase in odd-year pink salmon abundances at Indian River</w:t>
      </w:r>
      <w:r w:rsidR="00DC67C0">
        <w:t>, while no significant impact is found affecting even-year runs</w:t>
      </w:r>
      <w:r>
        <w:t xml:space="preserve">. </w:t>
      </w:r>
      <w:r w:rsidR="00DC67C0">
        <w:t>T</w:t>
      </w:r>
      <w:r>
        <w:t xml:space="preserve">he expansion of permitted pink salmon releases from 1 million to 3 million in 2010 is shown to have driven significant increases in both even- and odd-year abundances. </w:t>
      </w:r>
      <w:r w:rsidR="00DC67C0">
        <w:t>The difference in time periods (pre- and post</w:t>
      </w:r>
      <w:r w:rsidR="00E73316">
        <w:t>-</w:t>
      </w:r>
      <w:r w:rsidR="00DC67C0">
        <w:t xml:space="preserve">1980, and pre- and post-2010) is found to be a significant driver of pink salmon abundances both at Indian River and throughout </w:t>
      </w:r>
      <w:r w:rsidR="00E73316">
        <w:t xml:space="preserve">the </w:t>
      </w:r>
      <w:r w:rsidR="00E73316" w:rsidRPr="003C6E79">
        <w:rPr>
          <w:i/>
          <w:iCs/>
        </w:rPr>
        <w:t>north southeast (outside)</w:t>
      </w:r>
      <w:r w:rsidR="00E73316">
        <w:t xml:space="preserve"> region. This result is consistent with trends seen in ADFG’s survey data (Figures 2 &amp; 3), as well as the estimated states of pink salmon abundance depicted in Figures 4 &amp; 5. </w:t>
      </w:r>
    </w:p>
    <w:p w14:paraId="0E88E592" w14:textId="77777777"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080F073D" w:rsidR="00C3066D" w:rsidRDefault="00976473" w:rsidP="008C144E">
      <w:pPr>
        <w:spacing w:after="0" w:line="480" w:lineRule="auto"/>
      </w:pPr>
      <w:r>
        <w:t>With difference-in-difference studies suggesting that hatchery operations are having some influence on Indian River pink salmon abundances, the last stage of this research seeks to directly evaluate the effect o</w:t>
      </w:r>
      <w:r w:rsidR="005227E4">
        <w:t>f the volume of pink salmon coming from each source (the river and the hatchery) in brood year t-1 has on the other in brood year t</w:t>
      </w:r>
      <w:r>
        <w:t xml:space="preserve">. </w:t>
      </w:r>
      <w:r w:rsidR="005227E4">
        <w:t xml:space="preserve">For this purpose, MARSS models are employed with </w:t>
      </w:r>
      <w:proofErr w:type="gramStart"/>
      <w:r w:rsidR="005227E4" w:rsidRPr="00C64BF8">
        <w:rPr>
          <w:rFonts w:ascii="MathJax_Math-italic" w:eastAsia="Times New Roman" w:hAnsi="MathJax_Math-italic" w:cs="Times New Roman"/>
          <w:b/>
          <w:bCs/>
          <w:kern w:val="0"/>
          <w:sz w:val="26"/>
          <w:szCs w:val="26"/>
          <w:bdr w:val="none" w:sz="0" w:space="0" w:color="auto" w:frame="1"/>
          <w14:ligatures w14:val="none"/>
        </w:rPr>
        <w:t>B</w:t>
      </w:r>
      <w:r w:rsidR="005227E4">
        <w:t xml:space="preserve"> specified</w:t>
      </w:r>
      <w:proofErr w:type="gramEnd"/>
      <w:r w:rsidR="005227E4">
        <w:t xml:space="preserve"> specifically to capture these cross effects.</w:t>
      </w:r>
      <w:r w:rsidR="00090DA1">
        <w:t xml:space="preserve"> As mentioned above, the element of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that would capture the influence of hatchery returns in brood year t-1 on hatchery returns in brood year t is set at zero, due to hatchery releases in year t not being the direct result of returns in the previous brood year. Figure 6 describes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parameter estimates </w:t>
      </w:r>
      <w:r w:rsidR="00090DA1">
        <w:lastRenderedPageBreak/>
        <w:t>from these MARSS models,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xml:space="preserve">, and the effect of prior brood year Indian River abundance on current brood year Indian River abundance. Parametric bootstrapping is employed to construct confidence intervals around these parameter estimates. </w:t>
      </w:r>
    </w:p>
    <w:p w14:paraId="40ADB905" w14:textId="6E9DBB7C" w:rsidR="00675815" w:rsidRDefault="00090DA1" w:rsidP="008C144E">
      <w:pPr>
        <w:spacing w:after="0" w:line="480" w:lineRule="auto"/>
      </w:pPr>
      <w:r>
        <w:tab/>
        <w:t>The parameter of interest</w:t>
      </w:r>
      <w:r w:rsidR="006D7969">
        <w:t xml:space="preserve"> (the e</w:t>
      </w:r>
      <w:r w:rsidR="006D7969" w:rsidRPr="00090DA1">
        <w:t>ffect of prior brood year hatchery returns on current brood year Indian River abundance</w:t>
      </w:r>
      <w:r w:rsidR="006D7969">
        <w:t>) i</w:t>
      </w:r>
      <w:r w:rsidR="009F6B38">
        <w:t>s</w:t>
      </w:r>
      <w:r w:rsidR="006D7969">
        <w:t xml:space="preserve"> found to be </w:t>
      </w:r>
      <w:r w:rsidR="009F6B38">
        <w:t xml:space="preserve">positive and </w:t>
      </w:r>
      <w:r w:rsidR="006D7969">
        <w:t>significant 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 xml:space="preserve">greater than Indian River abundance much </w:t>
      </w:r>
      <w:proofErr w:type="gramStart"/>
      <w:r w:rsidR="00B00D9B">
        <w:t>more often than not</w:t>
      </w:r>
      <w:proofErr w:type="gramEnd"/>
      <w:r w:rsidR="00B00D9B">
        <w:t xml:space="preserve">. This means that despite the difference in effect, the overall numbers of fish returning to a site different from that of their origin </w:t>
      </w:r>
      <w:r w:rsidR="00625D54">
        <w:t>could be roughly equal or even skewed towards hatchery-born fish returning to Indian River. In those brood years where Indian River abundances exceed hatchery returns, the sizes of these effects imply that the following brood year will see more fish from Indian River returning to the hatchery than vice versa.</w:t>
      </w:r>
    </w:p>
    <w:p w14:paraId="791283B6" w14:textId="77777777" w:rsidR="00344905" w:rsidRDefault="00344905" w:rsidP="008C144E">
      <w:pPr>
        <w:spacing w:after="0" w:line="480" w:lineRule="auto"/>
      </w:pPr>
    </w:p>
    <w:bookmarkEnd w:id="1"/>
    <w:p w14:paraId="79B6696A" w14:textId="78F6E4BB" w:rsidR="00670218" w:rsidRPr="008C144E" w:rsidRDefault="0093781E" w:rsidP="008C144E">
      <w:pPr>
        <w:spacing w:after="0" w:line="480" w:lineRule="auto"/>
        <w:rPr>
          <w:b/>
          <w:bCs/>
          <w:u w:val="single"/>
        </w:rPr>
      </w:pPr>
      <w:r w:rsidRPr="008C144E">
        <w:rPr>
          <w:b/>
          <w:bCs/>
          <w:u w:val="single"/>
        </w:rPr>
        <w:lastRenderedPageBreak/>
        <w:t>Discussion</w:t>
      </w:r>
    </w:p>
    <w:p w14:paraId="798BA1B1" w14:textId="242F26D3" w:rsidR="003B6985" w:rsidRDefault="00716B1F" w:rsidP="008C144E">
      <w:pPr>
        <w:spacing w:after="0" w:line="480" w:lineRule="auto"/>
      </w:pPr>
      <w:r>
        <w:t xml:space="preserve">The results of this work are intended first and foremost to provide management at SITK with a comprehensive description of both the impacts of SJH operations and of the population dynamics of pink salmon throughout the broader region.  The state of pink salmon abundances in northern southeast Alaska is changing, as evidenced by Figures 2 &amp; 3. Understanding whether pink salmon at Indian River exist within a natural range of variation requires parsing this context. While pink salmon densities observed at Indian River in recent decades are high compared to those that were recorded decades ago, a statistical comparison of Indian River to ADFG’s pinks salmon index streams in the </w:t>
      </w:r>
      <w:r w:rsidRPr="003C6E79">
        <w:rPr>
          <w:i/>
          <w:iCs/>
        </w:rPr>
        <w:t>north southeast (outside)</w:t>
      </w:r>
      <w:r>
        <w:t xml:space="preserve"> region shows that only odd-year runs are not in line with regional expectations. </w:t>
      </w:r>
      <w:r w:rsidR="007C5247">
        <w:t xml:space="preserve">Difference-in-difference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w:t>
      </w:r>
      <w:r w:rsidR="00C80629">
        <w:t>That effect is found through time series modeling of Indian River abundances and hatchery returns, and while this work finds a significant effect of hatchery releases on Indian River abundances, it also appears that Indian River fish are returning to the hatchery at significant rates.</w:t>
      </w:r>
    </w:p>
    <w:p w14:paraId="27DF658A" w14:textId="0556C104" w:rsidR="00716B1F" w:rsidRDefault="001F7F26" w:rsidP="008C144E">
      <w:pPr>
        <w:spacing w:after="0" w:line="480" w:lineRule="auto"/>
      </w:pPr>
      <w:r>
        <w:tab/>
        <w:t xml:space="preserve">While it is not the aim of this work to be prescriptive, it is worth considering the implications of these findings and how they might inform the duties of park officials with respect to conservation. </w:t>
      </w:r>
      <w:r w:rsidR="00062BCE">
        <w:t xml:space="preserve">In even years, Indian River salmon are not out of the ordinary relative </w:t>
      </w:r>
      <w:r w:rsidR="00062BCE">
        <w:lastRenderedPageBreak/>
        <w:t xml:space="preserve">to the wider region. While the expansion of hatchery releases in 2010 is statistically shown to coincide an increase in the numbers of spawning pink salmon at Indian River, the effect of hatchery returns in the previous brood year on even-year pink salmon abundances are much lower than the effect of fish moving in the other direction. Taken together, this suite of evidence makes it seem likely that even-year runs at Indian River are well within the natural range of variation for the wider region. </w:t>
      </w:r>
      <w:r w:rsidR="00CC7AA4">
        <w:t>However, the analysis of odd-year runs tells a different story. Odd-year runs at Indian River are found differ significantly from the expectation drawn from the wider region. The effect both the commencement and expansion of hatchery operations (1980 and 2010) are shown to have coincided with increases in the numbers of pink salmon at Indian River, above and beyond what was happening elsewhere in the region during those periods. Finally, while (like even-year runs), the effect of hatchery returns in the previous brood year on even-year pink salmon abundances are lower than the effect of fish moving in the other direction, the difference in these effects is not as great, meaning it is more likely that more fish from the hatchery might be returning to Indian River in a given year than vice versa.</w:t>
      </w:r>
    </w:p>
    <w:p w14:paraId="7D8B9470" w14:textId="7DFAD994" w:rsidR="00F302DE" w:rsidRDefault="00F302DE" w:rsidP="008C144E">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w:t>
      </w:r>
      <w:r w:rsidR="00AE4507">
        <w:t xml:space="preserve">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w:t>
      </w:r>
      <w:r w:rsidR="005B3ACD">
        <w:t xml:space="preserve">This is not to say that the hatchery is the main driver of high pink salmon densities in odd years (as Figure 3 shows, spawning abundances </w:t>
      </w:r>
      <w:r w:rsidR="005B3ACD">
        <w:lastRenderedPageBreak/>
        <w:t xml:space="preserve">of these fish have been on the rise throughout the region for decades), but that hatchery fish </w:t>
      </w:r>
      <w:proofErr w:type="gramStart"/>
      <w:r w:rsidR="005B3ACD">
        <w:t>are</w:t>
      </w:r>
      <w:proofErr w:type="gramEnd"/>
      <w:r w:rsidR="005B3ACD">
        <w:t xml:space="preserve"> having some influence on abundances seen at Indian River not seen in even-year runs. The differences in these effects may be due to the original broodstock SJH sourced for odd- and even-year runs</w:t>
      </w:r>
      <w:r w:rsidR="009C2CB3">
        <w:t xml:space="preserve">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 although how this might be accomplished is another question all together which falls outside the scope of this work.</w:t>
      </w:r>
    </w:p>
    <w:p w14:paraId="4C795B1D" w14:textId="752215D5" w:rsidR="009C2CB3" w:rsidRDefault="009C2CB3" w:rsidP="008C144E">
      <w:pPr>
        <w:spacing w:after="0" w:line="480" w:lineRule="auto"/>
      </w:pPr>
      <w:r>
        <w:tab/>
        <w:t xml:space="preserve">It is clear from this research that determining the point at which a native species becomes overabundant is not a simple task. In the case of pink salmon at Indian River, this task is made additionally complicated by the fact there two populations </w:t>
      </w:r>
      <w:r w:rsidR="002B1614">
        <w:t xml:space="preserve">inhabiting the same environment (odd- and even-year runs) with potentially different life histories and characteristics. When assessing </w:t>
      </w:r>
      <w:proofErr w:type="gramStart"/>
      <w:r w:rsidR="002B1614">
        <w:t>whether or not</w:t>
      </w:r>
      <w:proofErr w:type="gramEnd"/>
      <w:r w:rsidR="002B1614">
        <w:t xml:space="preserve"> the overabundance of a native species in an ecosystem might be driven by some anthropogenic intervention requires </w:t>
      </w:r>
      <w:proofErr w:type="gramStart"/>
      <w:r w:rsidR="002B1614">
        <w:t>the consideration</w:t>
      </w:r>
      <w:proofErr w:type="gramEnd"/>
      <w:r w:rsidR="002B1614">
        <w:t xml:space="preserve"> not only of that </w:t>
      </w:r>
      <w:proofErr w:type="gramStart"/>
      <w:r w:rsidR="002B1614">
        <w:t>particular population</w:t>
      </w:r>
      <w:proofErr w:type="gramEnd"/>
      <w:r w:rsidR="002B1614">
        <w:t xml:space="preserve"> in time, but also the consideration of relevant populations of the same species that have not been exposed to the same intervention (although this may not always be possible).</w:t>
      </w:r>
      <w:bookmarkEnd w:id="0"/>
    </w:p>
    <w:sectPr w:rsidR="009C2CB3" w:rsidSect="001E1CBF">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107E"/>
    <w:rsid w:val="00062BCE"/>
    <w:rsid w:val="00086DA1"/>
    <w:rsid w:val="00090DA1"/>
    <w:rsid w:val="000D21FB"/>
    <w:rsid w:val="00106EE6"/>
    <w:rsid w:val="00114A77"/>
    <w:rsid w:val="00121CF4"/>
    <w:rsid w:val="00143CB9"/>
    <w:rsid w:val="001A405D"/>
    <w:rsid w:val="001A6AA2"/>
    <w:rsid w:val="001D51EA"/>
    <w:rsid w:val="001D5683"/>
    <w:rsid w:val="001E1CBF"/>
    <w:rsid w:val="001E29F4"/>
    <w:rsid w:val="001F775B"/>
    <w:rsid w:val="001F7F26"/>
    <w:rsid w:val="00232D52"/>
    <w:rsid w:val="00252296"/>
    <w:rsid w:val="002A355E"/>
    <w:rsid w:val="002B1614"/>
    <w:rsid w:val="0033098E"/>
    <w:rsid w:val="00344905"/>
    <w:rsid w:val="003633DB"/>
    <w:rsid w:val="00376A4E"/>
    <w:rsid w:val="003B4882"/>
    <w:rsid w:val="003B6985"/>
    <w:rsid w:val="003C5745"/>
    <w:rsid w:val="003C6E79"/>
    <w:rsid w:val="003C77AC"/>
    <w:rsid w:val="00412816"/>
    <w:rsid w:val="004217D3"/>
    <w:rsid w:val="00421CE7"/>
    <w:rsid w:val="004B019B"/>
    <w:rsid w:val="004C58F2"/>
    <w:rsid w:val="005078EE"/>
    <w:rsid w:val="005227E4"/>
    <w:rsid w:val="005363D0"/>
    <w:rsid w:val="00572D2B"/>
    <w:rsid w:val="005B1667"/>
    <w:rsid w:val="005B3ACD"/>
    <w:rsid w:val="00606949"/>
    <w:rsid w:val="00612D9D"/>
    <w:rsid w:val="00614E66"/>
    <w:rsid w:val="00625D54"/>
    <w:rsid w:val="00633AFA"/>
    <w:rsid w:val="00647DF2"/>
    <w:rsid w:val="00670218"/>
    <w:rsid w:val="00675815"/>
    <w:rsid w:val="006A0FFE"/>
    <w:rsid w:val="006B1A2E"/>
    <w:rsid w:val="006B5A94"/>
    <w:rsid w:val="006D7969"/>
    <w:rsid w:val="00716B1F"/>
    <w:rsid w:val="00731AF8"/>
    <w:rsid w:val="00741B88"/>
    <w:rsid w:val="00773DA7"/>
    <w:rsid w:val="00795151"/>
    <w:rsid w:val="007B55B0"/>
    <w:rsid w:val="007C5247"/>
    <w:rsid w:val="007F1518"/>
    <w:rsid w:val="007F2E44"/>
    <w:rsid w:val="00802542"/>
    <w:rsid w:val="0080336B"/>
    <w:rsid w:val="0087408B"/>
    <w:rsid w:val="008C0B8C"/>
    <w:rsid w:val="008C0E5E"/>
    <w:rsid w:val="008C144E"/>
    <w:rsid w:val="008D0E15"/>
    <w:rsid w:val="008E7DF4"/>
    <w:rsid w:val="008F33A8"/>
    <w:rsid w:val="0091309E"/>
    <w:rsid w:val="009170B1"/>
    <w:rsid w:val="0093781E"/>
    <w:rsid w:val="009721BE"/>
    <w:rsid w:val="00976473"/>
    <w:rsid w:val="009978CD"/>
    <w:rsid w:val="009A59EE"/>
    <w:rsid w:val="009C0C6B"/>
    <w:rsid w:val="009C2CB3"/>
    <w:rsid w:val="009D4DE7"/>
    <w:rsid w:val="009F6B38"/>
    <w:rsid w:val="00A017CB"/>
    <w:rsid w:val="00A368FA"/>
    <w:rsid w:val="00A527C1"/>
    <w:rsid w:val="00A93D33"/>
    <w:rsid w:val="00AE4507"/>
    <w:rsid w:val="00B00D9B"/>
    <w:rsid w:val="00B23CD2"/>
    <w:rsid w:val="00B50797"/>
    <w:rsid w:val="00B67742"/>
    <w:rsid w:val="00BB4FE2"/>
    <w:rsid w:val="00BF04BF"/>
    <w:rsid w:val="00C16190"/>
    <w:rsid w:val="00C3066D"/>
    <w:rsid w:val="00C61B5A"/>
    <w:rsid w:val="00C64BF8"/>
    <w:rsid w:val="00C80629"/>
    <w:rsid w:val="00C874A9"/>
    <w:rsid w:val="00CA65D7"/>
    <w:rsid w:val="00CC7AA4"/>
    <w:rsid w:val="00CD3E62"/>
    <w:rsid w:val="00D011BB"/>
    <w:rsid w:val="00D362A0"/>
    <w:rsid w:val="00D368CD"/>
    <w:rsid w:val="00D45C26"/>
    <w:rsid w:val="00D56989"/>
    <w:rsid w:val="00D57B76"/>
    <w:rsid w:val="00D801ED"/>
    <w:rsid w:val="00D9784A"/>
    <w:rsid w:val="00DC67C0"/>
    <w:rsid w:val="00E47684"/>
    <w:rsid w:val="00E65279"/>
    <w:rsid w:val="00E65F33"/>
    <w:rsid w:val="00E73316"/>
    <w:rsid w:val="00EB0251"/>
    <w:rsid w:val="00ED5857"/>
    <w:rsid w:val="00ED689D"/>
    <w:rsid w:val="00EF2ADE"/>
    <w:rsid w:val="00F12190"/>
    <w:rsid w:val="00F302DE"/>
    <w:rsid w:val="00F4350E"/>
    <w:rsid w:val="00F5558B"/>
    <w:rsid w:val="00F66F22"/>
    <w:rsid w:val="00F67FB5"/>
    <w:rsid w:val="00F8028C"/>
    <w:rsid w:val="00F8072F"/>
    <w:rsid w:val="00F90233"/>
    <w:rsid w:val="00FA6A18"/>
    <w:rsid w:val="00FC2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1194</TotalTime>
  <Pages>23</Pages>
  <Words>6569</Words>
  <Characters>34817</Characters>
  <Application>Microsoft Office Word</Application>
  <DocSecurity>0</DocSecurity>
  <Lines>498</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67</cp:revision>
  <dcterms:created xsi:type="dcterms:W3CDTF">2026-01-12T21:48:00Z</dcterms:created>
  <dcterms:modified xsi:type="dcterms:W3CDTF">2026-02-28T01:08:00Z</dcterms:modified>
</cp:coreProperties>
</file>