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A966C" w14:textId="312D5B2F" w:rsidR="005012A6" w:rsidRDefault="005012A6">
      <w:r>
        <w:t xml:space="preserve">Figures 2 &amp; 3 describe peak escapement of salmon runs recorded between 1960 and 2023 at Indian River and 35 pink salmon streams, all located in what ADFG designates as the ‘Northern Southeast (Outside)’ region. A cursory inspection of these figures suggests that abundances of returning pink salmon have generally been on the rise throughout the region over the last few decades, and that Indian River pink salmon are returning in densities consistent with those observed in nearby index streams. While this is somewhat compelling, visual inspection of a few dozen time series is not sufficient to conclude whether and to what extent Sheldon Jackson Hatchery has influenced pink salmon abundance at Indian River.  </w:t>
      </w:r>
    </w:p>
    <w:p w14:paraId="13C36C95" w14:textId="77777777" w:rsidR="005012A6" w:rsidRDefault="005012A6"/>
    <w:p w14:paraId="0B2CEACD" w14:textId="3D137330" w:rsidR="005012A6" w:rsidRDefault="005012A6" w:rsidP="004A17BC">
      <w:pPr>
        <w:spacing w:after="0" w:line="480" w:lineRule="auto"/>
      </w:pPr>
      <w:r>
        <w:t>Between 1960 and 2023, pink salmon escapement has increased throughout what ADFG designates as the ‘Northern Southeast (Outside)’ region</w:t>
      </w:r>
      <w:r w:rsidR="00C4640D">
        <w:t xml:space="preserve"> (in which the Indian River is located)</w:t>
      </w:r>
      <w:r>
        <w:t xml:space="preserve">. The agency has recorded peak </w:t>
      </w:r>
      <w:r w:rsidR="00C4640D">
        <w:t xml:space="preserve">pink salmon </w:t>
      </w:r>
      <w:r>
        <w:t xml:space="preserve">escapement annually at 35 index streams </w:t>
      </w:r>
      <w:r w:rsidR="00C4640D">
        <w:t xml:space="preserve">in this region, as well as at Indian River, albeit with gaps in the time series. </w:t>
      </w:r>
      <w:r w:rsidR="004A17BC">
        <w:t>Along with other streams in the region, Indian River has seen an increase in peak escapement over the period of observation</w:t>
      </w:r>
      <w:r w:rsidR="00C4640D">
        <w:t xml:space="preserve"> (Figure 2)</w:t>
      </w:r>
      <w:r w:rsidR="004A17BC">
        <w:t xml:space="preserve">. However, this data alone does not provide sufficient evidence to conclude whether and to what extent Sheldon Jackson Hatchery has influenced pink salmon abundance at Indian River.  </w:t>
      </w:r>
    </w:p>
    <w:p w14:paraId="7575901B" w14:textId="4126D6A0" w:rsidR="004A17BC" w:rsidRDefault="004A17BC">
      <w:r>
        <w:br w:type="page"/>
      </w:r>
    </w:p>
    <w:p w14:paraId="36C0F663" w14:textId="77777777" w:rsidR="004A17BC" w:rsidRDefault="004A17BC" w:rsidP="004A17BC">
      <w:pPr>
        <w:spacing w:after="0" w:line="480" w:lineRule="auto"/>
        <w:ind w:firstLine="360"/>
      </w:pPr>
      <w:commentRangeStart w:id="0"/>
      <w:r>
        <w:lastRenderedPageBreak/>
        <w:t>My research seeks to assess whether the abundances of pink salmon observed in recent decades at Indian River exist within a natural range of variation relative to pink salmon streams elsewhere in the region. Additionally, my research explores whether a causal relationship exists between the operations of Sheldon Jackson Hatchery and the increased pink salmon abundances observed at Indian River since 1980, and estimates the effect SJH operations have had on abundances of pink salmon at Indian River over time.</w:t>
      </w:r>
      <w:commentRangeEnd w:id="0"/>
      <w:r>
        <w:rPr>
          <w:rStyle w:val="CommentReference"/>
          <w:sz w:val="24"/>
          <w:szCs w:val="24"/>
        </w:rPr>
        <w:commentReference w:id="0"/>
      </w:r>
      <w:r>
        <w:t xml:space="preserve">  </w:t>
      </w:r>
    </w:p>
    <w:p w14:paraId="6A576B6C" w14:textId="77777777" w:rsidR="004A17BC" w:rsidRDefault="004A17BC" w:rsidP="004A17BC">
      <w:pPr>
        <w:spacing w:after="0" w:line="480" w:lineRule="auto"/>
      </w:pPr>
    </w:p>
    <w:p w14:paraId="4B33476C" w14:textId="0A45BEF8" w:rsidR="00EF660E" w:rsidRDefault="008823CF" w:rsidP="004A17BC">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w:t>
      </w:r>
      <w:r w:rsidR="002A1D18">
        <w:t xml:space="preserve">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w:t>
      </w:r>
      <w:r w:rsidR="00ED2389">
        <w:t>If the commencement (or 2010 expansion) of hatchery operations has</w:t>
      </w:r>
      <w:r w:rsidR="00396E9D">
        <w:t xml:space="preserve"> significantly increased pink salmon population densities at Indian River, then this effect could be observed by specifying a</w:t>
      </w:r>
      <w:r w:rsidR="00ED2389">
        <w:t xml:space="preserve"> model of hatchery operations which controls for both the effect of time period (pre- and post-commencement of operations) and the effect of treatment (considering Indian River the treated group)</w:t>
      </w:r>
      <w:r w:rsidR="00396E9D">
        <w:t>.</w:t>
      </w:r>
      <w:r w:rsidR="002F1F1F">
        <w:t xml:space="preserve"> Finally</w:t>
      </w:r>
      <w:r w:rsidR="00E81D20">
        <w:t xml:space="preserve">, the impact of hatchery releases on Indian River abundances may be evaluated by specifying a model which allows for both peak escapement and hatchery releases in the previous brood year to influence the number of pink salmon returning to Indian River to </w:t>
      </w:r>
      <w:r w:rsidR="00E81D20">
        <w:lastRenderedPageBreak/>
        <w:t>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30BBDF73" w14:textId="77777777" w:rsidR="00EF660E" w:rsidRDefault="00EF660E">
      <w:r>
        <w:br w:type="page"/>
      </w:r>
    </w:p>
    <w:p w14:paraId="3B38BA09" w14:textId="327810D3" w:rsidR="004A17BC" w:rsidRDefault="00EF660E" w:rsidP="004A17BC">
      <w:pPr>
        <w:spacing w:after="0" w:line="480" w:lineRule="auto"/>
      </w:pPr>
      <w:commentRangeStart w:id="1"/>
      <w:r>
        <w:lastRenderedPageBreak/>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commentRangeEnd w:id="1"/>
      <w:r>
        <w:rPr>
          <w:rStyle w:val="CommentReference"/>
          <w:sz w:val="24"/>
          <w:szCs w:val="24"/>
        </w:rPr>
        <w:commentReference w:id="1"/>
      </w:r>
    </w:p>
    <w:p w14:paraId="0DA9AB8C" w14:textId="77777777" w:rsidR="004A17BC" w:rsidRDefault="004A17BC" w:rsidP="004A17BC">
      <w:pPr>
        <w:spacing w:after="0" w:line="480" w:lineRule="auto"/>
      </w:pPr>
    </w:p>
    <w:p w14:paraId="6AC222F8" w14:textId="5E5B1423" w:rsidR="00E77D5F" w:rsidRDefault="00EF660E" w:rsidP="004A17BC">
      <w:pPr>
        <w:spacing w:after="0" w:line="480" w:lineRule="auto"/>
      </w:pPr>
      <w:r>
        <w:t>The first stage of this research will attempt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w:t>
      </w:r>
      <w:r w:rsidR="001D249A">
        <w:t>.</w:t>
      </w:r>
      <w:r>
        <w:t xml:space="preserve"> </w:t>
      </w:r>
      <w:r w:rsidR="001D249A">
        <w:t>T</w:t>
      </w:r>
      <w:r w:rsidR="00657247">
        <w:t>he first</w:t>
      </w:r>
      <w:r>
        <w:t xml:space="preserve"> </w:t>
      </w:r>
      <w:r w:rsidR="001D249A">
        <w:t>estimates</w:t>
      </w:r>
      <w:r>
        <w:t xml:space="preserve"> </w:t>
      </w:r>
      <w:r w:rsidR="001D249A">
        <w:t xml:space="preserve">two underlying state processes, treating </w:t>
      </w:r>
      <w:r>
        <w:t xml:space="preserve">the underlying state of Indian River </w:t>
      </w:r>
      <w:r w:rsidR="001D249A">
        <w:t>pink salmon abundance</w:t>
      </w:r>
      <w:r>
        <w:t xml:space="preserve"> separately from th</w:t>
      </w:r>
      <w:r w:rsidR="001D249A">
        <w:t>at</w:t>
      </w:r>
      <w:r>
        <w:t xml:space="preserve"> </w:t>
      </w:r>
      <w:r w:rsidR="00657247">
        <w:t>of the wider region</w:t>
      </w:r>
      <w:r w:rsidR="001D249A">
        <w:t>. T</w:t>
      </w:r>
      <w:r w:rsidR="00657247">
        <w:t xml:space="preserve">he second </w:t>
      </w:r>
      <w:r w:rsidR="001D249A">
        <w:t xml:space="preserve">uses all available data (abundance observations from Indian River and ADFG’s 35 </w:t>
      </w:r>
      <w:r w:rsidR="001D249A" w:rsidRPr="003C6E79">
        <w:rPr>
          <w:i/>
          <w:iCs/>
        </w:rPr>
        <w:t>north southeast (outside)</w:t>
      </w:r>
      <w:r w:rsidR="001D249A">
        <w:t xml:space="preserve"> index streams) to estimate</w:t>
      </w:r>
      <w:r w:rsidR="00657247">
        <w:t xml:space="preserve"> </w:t>
      </w:r>
      <w:r w:rsidR="001D249A">
        <w:t xml:space="preserve">one </w:t>
      </w:r>
      <w:r w:rsidR="00657247">
        <w:t xml:space="preserve">underlying state </w:t>
      </w:r>
      <w:r w:rsidR="001D249A">
        <w:t xml:space="preserve">process </w:t>
      </w:r>
      <w:r w:rsidR="00657247">
        <w:t>of pink salmon abundance throughout the region</w:t>
      </w:r>
      <w:r>
        <w:t xml:space="preserve">. </w:t>
      </w:r>
      <w:r w:rsidR="006C7056">
        <w:t xml:space="preserve">A comparison of </w:t>
      </w:r>
      <w:r w:rsidR="00E77D5F">
        <w:t xml:space="preserve">how well each </w:t>
      </w:r>
      <w:r w:rsidR="006C7056">
        <w:t>model fit</w:t>
      </w:r>
      <w:r w:rsidR="00E77D5F">
        <w:t>s the abundance data</w:t>
      </w:r>
      <w:r w:rsidR="006C7056">
        <w:t xml:space="preserve"> will</w:t>
      </w:r>
      <w:r w:rsidR="00E77D5F">
        <w:t xml:space="preserve"> either</w:t>
      </w:r>
      <w:r w:rsidR="006C7056">
        <w:t xml:space="preserve"> lend support</w:t>
      </w:r>
      <w:r w:rsidR="00E77D5F">
        <w:t xml:space="preserve"> to</w:t>
      </w:r>
      <w:r w:rsidR="006C7056">
        <w:t xml:space="preserve"> or undermine the notion that Indian River pink salmon abundances significantly differ from those observed elsewhere in the region throughout the study period. </w:t>
      </w:r>
    </w:p>
    <w:p w14:paraId="672072A8" w14:textId="77777777" w:rsidR="00E77D5F" w:rsidRDefault="00E77D5F">
      <w:r>
        <w:br w:type="page"/>
      </w:r>
    </w:p>
    <w:p w14:paraId="512D9FDF" w14:textId="27E31F32" w:rsidR="00897510" w:rsidRDefault="00E77D5F" w:rsidP="004A17BC">
      <w:pPr>
        <w:spacing w:after="0" w:line="480" w:lineRule="auto"/>
      </w:pPr>
      <w:commentRangeStart w:id="2"/>
      <w:r>
        <w:lastRenderedPageBreak/>
        <w:t xml:space="preserve">The most parsimonious model as defined by AICc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 (AICc is chosen here due to the relatively small number of Indian River observations). This is consistent with non-quantitative intuition if indeed the presence of SJH creates conditions that differ from a “natural” state. </w:t>
      </w:r>
      <w:commentRangeEnd w:id="2"/>
      <w:r>
        <w:rPr>
          <w:rStyle w:val="CommentReference"/>
          <w:sz w:val="24"/>
          <w:szCs w:val="24"/>
        </w:rPr>
        <w:commentReference w:id="2"/>
      </w:r>
    </w:p>
    <w:p w14:paraId="4F307A55" w14:textId="77777777" w:rsidR="00897510" w:rsidRDefault="00897510">
      <w:r>
        <w:br w:type="page"/>
      </w:r>
    </w:p>
    <w:p w14:paraId="11D1FF6D" w14:textId="77777777" w:rsidR="00897510" w:rsidRDefault="00897510" w:rsidP="00897510">
      <w:pPr>
        <w:spacing w:after="0" w:line="480" w:lineRule="auto"/>
        <w:ind w:firstLine="720"/>
      </w:pPr>
      <w:commentRangeStart w:id="3"/>
      <w:r>
        <w:lastRenderedPageBreak/>
        <w:t xml:space="preserve">While there is no single statistical test that evaluates whether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requires that both time series be stationary, meaning that the variance, mean, and autocorrelation are not changing over time (i.e. the data’s behavior is independent of time). </w:t>
      </w:r>
      <w:commentRangeStart w:id="4"/>
      <w:r>
        <w:t>This property is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Any time series which includes some long-term trend or seasonality is likely not stationary, and so it is commonplace to difference time series data by taking the difference between successive observations to “detrend” the data (</w:t>
      </w:r>
      <w:r>
        <w:rPr>
          <w:rFonts w:cstheme="minorHAnsi"/>
        </w:rPr>
        <w:t>Δ</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-1</w:t>
      </w:r>
      <w:r>
        <w:t>). Once differenced, means and variances of these time series may then be compared using a t-test and F-test respectively. The trends can likewise be estimated using simple linear regression and compared using Welch’s t-test.</w:t>
      </w:r>
      <w:commentRangeEnd w:id="4"/>
      <w:r>
        <w:rPr>
          <w:rStyle w:val="CommentReference"/>
          <w:sz w:val="24"/>
          <w:szCs w:val="24"/>
        </w:rPr>
        <w:commentReference w:id="4"/>
      </w:r>
      <w:commentRangeEnd w:id="3"/>
      <w:r>
        <w:rPr>
          <w:rStyle w:val="CommentReference"/>
          <w:sz w:val="24"/>
          <w:szCs w:val="24"/>
        </w:rPr>
        <w:commentReference w:id="3"/>
      </w:r>
    </w:p>
    <w:p w14:paraId="4E582DD5" w14:textId="77777777" w:rsidR="00EF660E" w:rsidRDefault="00EF660E" w:rsidP="004A17BC">
      <w:pPr>
        <w:spacing w:after="0" w:line="480" w:lineRule="auto"/>
      </w:pPr>
    </w:p>
    <w:p w14:paraId="656EAEE3" w14:textId="4C7E2A1D" w:rsidR="00AD2CBF" w:rsidRDefault="00897510" w:rsidP="004A17BC">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w:t>
      </w:r>
      <w:r>
        <w:lastRenderedPageBreak/>
        <w:t xml:space="preserve">region, there are four models that must be fit. </w:t>
      </w:r>
      <w:r w:rsidR="00494012">
        <w:t xml:space="preserve">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exist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w:t>
      </w:r>
      <w:r w:rsidR="00FD4448">
        <w:t>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1F226BD6" w14:textId="77777777" w:rsidR="00AD2CBF" w:rsidRDefault="00AD2CBF">
      <w:r>
        <w:br w:type="page"/>
      </w:r>
    </w:p>
    <w:p w14:paraId="068FA74B" w14:textId="77777777" w:rsidR="00AD2CBF" w:rsidRPr="00C64BF8" w:rsidRDefault="00AD2CBF" w:rsidP="00AD2CBF">
      <w:pPr>
        <w:spacing w:after="0" w:line="480" w:lineRule="auto"/>
        <w:rPr>
          <w:b/>
          <w:bCs/>
        </w:rPr>
      </w:pPr>
      <w:r w:rsidRPr="00C64BF8">
        <w:rPr>
          <w:b/>
          <w:bCs/>
        </w:rPr>
        <w:lastRenderedPageBreak/>
        <w:t>Effect of Hatchery Operations</w:t>
      </w:r>
    </w:p>
    <w:p w14:paraId="5011A4B6" w14:textId="77777777" w:rsidR="00AD2CBF" w:rsidRDefault="00AD2CBF" w:rsidP="00AD2CBF">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4FE8CA5C" w14:textId="77777777" w:rsidR="00AD2CBF" w:rsidRDefault="00AD2CBF" w:rsidP="00AD2CBF">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A80902" w14:textId="77777777" w:rsidR="00AD2CBF" w:rsidRDefault="00AD2CBF" w:rsidP="00AD2CBF">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396E668C" w14:textId="7AD6F0D6" w:rsidR="00AD2CBF" w:rsidRDefault="00AD2CBF" w:rsidP="00AD2CBF">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w:t>
      </w:r>
      <w:r>
        <w:lastRenderedPageBreak/>
        <w:t>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w:t>
      </w:r>
      <w:r w:rsidR="00A5673D">
        <w:t xml:space="preserve"> </w:t>
      </w:r>
      <w:r>
        <w:t>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4F138C5B" w14:textId="77777777" w:rsidR="00BF3F86" w:rsidRDefault="00AD2CBF" w:rsidP="00564645">
      <w:pPr>
        <w:spacing w:after="0" w:line="480" w:lineRule="auto"/>
        <w:ind w:firstLine="360"/>
      </w:pPr>
      <w:r>
        <w:t xml:space="preserve">This research applies a </w:t>
      </w:r>
      <w:commentRangeStart w:id="5"/>
      <w:r>
        <w:t xml:space="preserve">DD framework using a MARSS model approach </w:t>
      </w:r>
      <w:r w:rsidR="00564645">
        <w:t xml:space="preserve">in order </w:t>
      </w:r>
      <w:r>
        <w:t xml:space="preserve">to once again </w:t>
      </w:r>
      <w:r w:rsidR="00564645">
        <w:t>control</w:t>
      </w:r>
      <w:r>
        <w:t xml:space="preserve"> for </w:t>
      </w:r>
      <w:r w:rsidR="00564645">
        <w:t>observation error and to capture the autoregressive behavior of the underlying state processes. The indicator variables described above are included as covariate data in the process equation (</w:t>
      </w:r>
      <w:r w:rsidR="00564645" w:rsidRPr="00C64BF8">
        <w:rPr>
          <w:rFonts w:ascii="MathJax_Math-italic" w:eastAsia="Times New Roman" w:hAnsi="MathJax_Math-italic" w:cs="Times New Roman"/>
          <w:b/>
          <w:bCs/>
          <w:kern w:val="0"/>
          <w:sz w:val="26"/>
          <w:szCs w:val="26"/>
          <w:bdr w:val="none" w:sz="0" w:space="0" w:color="auto" w:frame="1"/>
          <w14:ligatures w14:val="none"/>
        </w:rPr>
        <w:t>c</w:t>
      </w:r>
      <w:r w:rsidR="00564645"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64645">
        <w:t xml:space="preserve">), with </w:t>
      </w:r>
      <w:r w:rsidR="00564645" w:rsidRPr="00344E76">
        <w:rPr>
          <w:rFonts w:ascii="MathJax_Math-italic" w:eastAsia="Times New Roman" w:hAnsi="MathJax_Math-italic" w:cs="Times New Roman"/>
          <w:b/>
          <w:bCs/>
          <w:kern w:val="0"/>
          <w:sz w:val="26"/>
          <w:szCs w:val="26"/>
          <w:bdr w:val="none" w:sz="0" w:space="0" w:color="auto" w:frame="1"/>
          <w14:ligatures w14:val="none"/>
        </w:rPr>
        <w:t>C</w:t>
      </w:r>
      <w:r w:rsidR="00564645">
        <w:t xml:space="preserve"> specified to capture the effects of interest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564645">
        <w:t xml:space="preserve">,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2</w:t>
      </w:r>
      <w:r w:rsidR="00564645">
        <w:t xml:space="preserve">, and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3</w:t>
      </w:r>
      <w:r w:rsidR="00564645">
        <w:t>). O</w:t>
      </w:r>
      <w:r>
        <w:t xml:space="preserve">bservations of pink salmon abundances at Indian River are assigned to the treatment group while observations at ADFG’s other </w:t>
      </w:r>
      <w:r w:rsidRPr="003C6E79">
        <w:rPr>
          <w:i/>
          <w:iCs/>
        </w:rPr>
        <w:t>north southeast (outside)</w:t>
      </w:r>
      <w:r>
        <w:t xml:space="preserve"> index streams form the control group. </w:t>
      </w:r>
      <w:r w:rsidR="00A5673D">
        <w:t>The treatment period is defined as post-1980, which allows hatchery operations for</w:t>
      </w:r>
      <w:r>
        <w:t xml:space="preserve"> a couple of </w:t>
      </w:r>
      <w:r w:rsidR="00A5673D">
        <w:t xml:space="preserve">brood </w:t>
      </w:r>
      <w:r>
        <w:t xml:space="preserve">years to </w:t>
      </w:r>
      <w:r w:rsidR="00A5673D">
        <w:t xml:space="preserve">ramp </w:t>
      </w:r>
      <w:r>
        <w:t xml:space="preserve">up. </w:t>
      </w:r>
      <w:commentRangeEnd w:id="5"/>
      <w:r>
        <w:rPr>
          <w:rStyle w:val="CommentReference"/>
          <w:sz w:val="24"/>
          <w:szCs w:val="24"/>
        </w:rPr>
        <w:commentReference w:id="5"/>
      </w:r>
      <w:r w:rsidR="00AC31F5">
        <w:t xml:space="preserve">A separate specification of the DD model includes an indicator variable related to periods pre- and post-2010, to assess the impact of heightened pink salmon production. </w:t>
      </w:r>
    </w:p>
    <w:p w14:paraId="20210BAD" w14:textId="4790BEB3" w:rsidR="00A5673D" w:rsidRDefault="00BF3F86" w:rsidP="00564645">
      <w:pPr>
        <w:spacing w:after="0" w:line="480" w:lineRule="auto"/>
        <w:ind w:firstLine="360"/>
      </w:pPr>
      <w:r>
        <w:t>Models are specified including additional covariates to further isolate the effect of interest,</w:t>
      </w:r>
      <w:r w:rsidR="00A5673D">
        <w:t xml:space="preserve"> controlling for observer</w:t>
      </w:r>
      <w:r>
        <w:t>, for</w:t>
      </w:r>
      <w:r w:rsidR="00A5673D">
        <w:t xml:space="preserve"> PDO</w:t>
      </w:r>
      <w:r>
        <w:t xml:space="preserve">, for both, and for neither. These competing specifications are </w:t>
      </w:r>
      <w:r>
        <w:lastRenderedPageBreak/>
        <w:t xml:space="preserve">evaluated for best fit using AICc. To </w:t>
      </w:r>
      <w:commentRangeStart w:id="6"/>
      <w:r>
        <w:t xml:space="preserve">ensure that </w:t>
      </w:r>
      <w:r w:rsidR="000473CA">
        <w:t xml:space="preserve">the parallel trends assumption holds between </w:t>
      </w:r>
      <w:r>
        <w:t xml:space="preserve">treatment and control groups during the pre-treatment period, </w:t>
      </w:r>
      <w:r w:rsidR="000473CA">
        <w:t xml:space="preserve">event studies are undertaken on the </w:t>
      </w:r>
      <w:r>
        <w:t xml:space="preserve">best fit models (if these groups significantly differ, a synthetic control group </w:t>
      </w:r>
      <w:r w:rsidR="000473CA">
        <w:t>is</w:t>
      </w:r>
      <w:r>
        <w:t xml:space="preserve"> constructed using a weighted average of untreated streams to match the Indian River’s pre-treatment trend).</w:t>
      </w:r>
      <w:commentRangeEnd w:id="6"/>
      <w:r>
        <w:rPr>
          <w:rStyle w:val="CommentReference"/>
          <w:sz w:val="24"/>
          <w:szCs w:val="24"/>
        </w:rPr>
        <w:commentReference w:id="6"/>
      </w:r>
      <w:r>
        <w:t xml:space="preserve"> </w:t>
      </w:r>
      <w:r w:rsidR="00A5673D">
        <w:t xml:space="preserve">Parametric bootstrapping is employed </w:t>
      </w:r>
      <w:r>
        <w:t xml:space="preserve">on the best fit models </w:t>
      </w:r>
      <w:r w:rsidR="00A5673D">
        <w:t>to construct confidence intervals around these parameter estimates.</w:t>
      </w:r>
    </w:p>
    <w:p w14:paraId="5B60D403" w14:textId="26094CDC" w:rsidR="00014224" w:rsidRDefault="00BF7A7A" w:rsidP="00564645">
      <w:pPr>
        <w:spacing w:after="0" w:line="480" w:lineRule="auto"/>
        <w:ind w:firstLine="360"/>
      </w:pPr>
      <w:r>
        <w:t>A s</w:t>
      </w:r>
      <w:r w:rsidR="00A5673D">
        <w:t xml:space="preserve">tatistically </w:t>
      </w:r>
      <w:r>
        <w:t xml:space="preserve">significant </w:t>
      </w:r>
      <w:r w:rsidR="00A5673D">
        <w:t>e</w:t>
      </w:r>
      <w:r w:rsidR="00AD2CBF">
        <w:t xml:space="preserve">stimate of </w:t>
      </w:r>
      <w:r w:rsidR="00AD2CBF" w:rsidRPr="00C64BF8">
        <w:rPr>
          <w:rFonts w:ascii="MathJax_Math-italic" w:eastAsia="Times New Roman" w:hAnsi="MathJax_Math-italic" w:cs="Times New Roman"/>
          <w:kern w:val="0"/>
          <w:sz w:val="26"/>
          <w:szCs w:val="26"/>
          <w:bdr w:val="none" w:sz="0" w:space="0" w:color="auto" w:frame="1"/>
          <w14:ligatures w14:val="none"/>
        </w:rPr>
        <w:t>β</w:t>
      </w:r>
      <w:r w:rsidR="00AD2C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AD2CBF">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DD65842" w14:textId="77777777" w:rsidR="00014224" w:rsidRDefault="00014224">
      <w:r>
        <w:br w:type="page"/>
      </w:r>
    </w:p>
    <w:p w14:paraId="3304A8A1" w14:textId="77777777" w:rsidR="00014224" w:rsidRPr="00C64BF8" w:rsidRDefault="00014224" w:rsidP="00014224">
      <w:pPr>
        <w:spacing w:after="0" w:line="480" w:lineRule="auto"/>
        <w:rPr>
          <w:b/>
          <w:bCs/>
        </w:rPr>
      </w:pPr>
      <w:r w:rsidRPr="00C64BF8">
        <w:rPr>
          <w:b/>
          <w:bCs/>
        </w:rPr>
        <w:lastRenderedPageBreak/>
        <w:t>Effect of Hatchery Releases</w:t>
      </w:r>
    </w:p>
    <w:p w14:paraId="54C5FB5C" w14:textId="63234D22" w:rsidR="00014224" w:rsidRDefault="00014224" w:rsidP="00014224">
      <w:pPr>
        <w:spacing w:after="0" w:line="480" w:lineRule="auto"/>
      </w:pPr>
      <w:r>
        <w:t xml:space="preserve">Finally, this research focuses on the effect of the number of fish released by the hatchery each year. While scarcity of available stray rate data makes a direct analysis of the impacts of straying impossible, the impacts of hatchery releases on pink salmon abundance at Indian River (as well as the inverse) are estimated via the same MARSS models described above. </w:t>
      </w:r>
      <w:commentRangeStart w:id="7"/>
      <w:commentRangeStart w:id="8"/>
      <w:commentRangeStart w:id="9"/>
      <w:r>
        <w:t xml:space="preserve">It is important to consider the effect of straying both to and from Indian River, as both would influence the abundances observed in stream. </w:t>
      </w:r>
      <w:commentRangeEnd w:id="8"/>
      <w:r>
        <w:rPr>
          <w:rStyle w:val="CommentReference"/>
          <w:sz w:val="24"/>
          <w:szCs w:val="24"/>
        </w:rPr>
        <w:commentReference w:id="8"/>
      </w:r>
      <w:commentRangeEnd w:id="9"/>
      <w:r>
        <w:rPr>
          <w:rStyle w:val="CommentReference"/>
          <w:sz w:val="24"/>
          <w:szCs w:val="24"/>
        </w:rPr>
        <w:commentReference w:id="9"/>
      </w:r>
      <w:r>
        <w:t xml:space="preserve">Specifying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allows the estimation of 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w:t>
      </w:r>
      <w:r>
        <w:t xml:space="preserve">. It is important to note that, because escapement data are log-transformed, the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elements estimated will be associated with percent increases from one time step to the next.</w:t>
      </w:r>
      <w:commentRangeEnd w:id="7"/>
      <w:r>
        <w:rPr>
          <w:rStyle w:val="CommentReference"/>
          <w:sz w:val="24"/>
          <w:szCs w:val="24"/>
        </w:rPr>
        <w:commentReference w:id="7"/>
      </w:r>
      <w:r>
        <w:t xml:space="preserve"> </w:t>
      </w:r>
    </w:p>
    <w:p w14:paraId="4A48CE37" w14:textId="77777777" w:rsidR="00014224" w:rsidRDefault="00014224" w:rsidP="00014224">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Instead, the model includes covariate data relating to smolts reared by the hatchery from eggs taken from the previous brood year’s broodstock and released the prior year. This allows the state of hatchery returners in the current year (</w:t>
      </w:r>
      <w:r>
        <w:rPr>
          <w:rFonts w:ascii="MathJax_Math-italic" w:eastAsia="Times New Roman" w:hAnsi="MathJax_Math-italic" w:cs="Times New Roman"/>
          <w:kern w:val="0"/>
          <w:sz w:val="26"/>
          <w:szCs w:val="26"/>
          <w:bdr w:val="none" w:sz="0" w:space="0" w:color="auto" w:frame="1"/>
          <w14:ligatures w14:val="none"/>
        </w:rPr>
        <w:t>x</w:t>
      </w:r>
      <w:r>
        <w:rPr>
          <w:rFonts w:ascii="MathJax_Math-italic" w:eastAsia="Times New Roman" w:hAnsi="MathJax_Math-italic" w:cs="Times New Roman"/>
          <w:kern w:val="0"/>
          <w:sz w:val="26"/>
          <w:szCs w:val="26"/>
          <w:bdr w:val="none" w:sz="0" w:space="0" w:color="auto" w:frame="1"/>
          <w:vertAlign w:val="subscript"/>
          <w14:ligatures w14:val="none"/>
        </w:rPr>
        <w:t>H</w:t>
      </w:r>
      <w:r w:rsidRPr="00C64BF8">
        <w:rPr>
          <w:rFonts w:ascii="MathJax_Math-italic" w:eastAsia="Times New Roman" w:hAnsi="MathJax_Math-italic" w:cs="Times New Roman"/>
          <w:kern w:val="0"/>
          <w:sz w:val="26"/>
          <w:szCs w:val="26"/>
          <w:bdr w:val="none" w:sz="0" w:space="0" w:color="auto" w:frame="1"/>
          <w:vertAlign w:val="subscript"/>
          <w14:ligatures w14:val="none"/>
        </w:rPr>
        <w:t>,t</w:t>
      </w:r>
      <w:r>
        <w:t>) to be composed of smolts reared from the previous brood (and released in the prior year), as well as wild born fish from Indian River straying to the hatchery. An example of such a model’s process equation written out in matrix form follows:</w:t>
      </w:r>
    </w:p>
    <w:p w14:paraId="661BECFE" w14:textId="77777777" w:rsidR="00014224" w:rsidRDefault="00014224" w:rsidP="00014224">
      <w:pPr>
        <w:spacing w:after="0" w:line="480" w:lineRule="auto"/>
      </w:pPr>
    </w:p>
    <w:p w14:paraId="585FC462" w14:textId="77777777" w:rsidR="00014224" w:rsidRDefault="00014224" w:rsidP="00014224">
      <w:pPr>
        <w:pStyle w:val="ListParagraph"/>
        <w:spacing w:after="0" w:line="480" w:lineRule="auto"/>
        <w:ind w:left="360"/>
        <w:jc w:val="center"/>
      </w:pPr>
      <w:r w:rsidRPr="00741B88">
        <w:rPr>
          <w:noProof/>
        </w:rPr>
        <w:lastRenderedPageBreak/>
        <w:drawing>
          <wp:inline distT="0" distB="0" distL="0" distR="0" wp14:anchorId="4427B429" wp14:editId="42375852">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8"/>
                    <a:stretch>
                      <a:fillRect/>
                    </a:stretch>
                  </pic:blipFill>
                  <pic:spPr>
                    <a:xfrm>
                      <a:off x="0" y="0"/>
                      <a:ext cx="3791145" cy="419122"/>
                    </a:xfrm>
                    <a:prstGeom prst="rect">
                      <a:avLst/>
                    </a:prstGeom>
                  </pic:spPr>
                </pic:pic>
              </a:graphicData>
            </a:graphic>
          </wp:inline>
        </w:drawing>
      </w:r>
    </w:p>
    <w:p w14:paraId="6CFDC3F5" w14:textId="77777777" w:rsidR="00014224" w:rsidRDefault="00014224" w:rsidP="00014224">
      <w:pPr>
        <w:pStyle w:val="ListParagraph"/>
        <w:spacing w:after="0" w:line="480" w:lineRule="auto"/>
        <w:ind w:left="360"/>
      </w:pPr>
    </w:p>
    <w:p w14:paraId="5E537E78" w14:textId="5B8BF201" w:rsidR="00655324" w:rsidRDefault="00014224" w:rsidP="00014224">
      <w:pPr>
        <w:spacing w:after="0" w:line="480" w:lineRule="auto"/>
      </w:pPr>
      <w:r>
        <w:t xml:space="preserve">Of particular interest is the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xml:space="preserve">, which describes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 Observation error is site specific, while process error is shared by both states (river and hatchery returners) due to fish encountering the same conditions throughout their lifespan at sea as well as the same commercial fishing effort upon their return.</w:t>
      </w:r>
    </w:p>
    <w:p w14:paraId="22CFE94E" w14:textId="77777777" w:rsidR="00655324" w:rsidRDefault="00655324">
      <w:r>
        <w:br w:type="page"/>
      </w:r>
    </w:p>
    <w:p w14:paraId="7C22BBCF" w14:textId="1D36201E" w:rsidR="00014224" w:rsidRDefault="00655324" w:rsidP="00014224">
      <w:pPr>
        <w:spacing w:after="0" w:line="480" w:lineRule="auto"/>
      </w:pPr>
      <w:r>
        <w:lastRenderedPageBreak/>
        <w:t>A separate specification of the DD model includes an indicator variable related to periods pre- and post-2010, to assess the impact of heightened pink salmon production. Models are specified including additional covariates to further isolate the effect of interest, controlling for observer, for PDO, for both, and for neither. These competing specifications are evaluated for best fit using AICc</w:t>
      </w:r>
    </w:p>
    <w:p w14:paraId="58762578" w14:textId="77777777" w:rsidR="00655324" w:rsidRDefault="00655324" w:rsidP="00014224">
      <w:pPr>
        <w:spacing w:after="0" w:line="480" w:lineRule="auto"/>
      </w:pPr>
    </w:p>
    <w:p w14:paraId="5422298D" w14:textId="504A6FA3" w:rsidR="00655324" w:rsidRDefault="00655324" w:rsidP="00014224">
      <w:pPr>
        <w:spacing w:after="0" w:line="480" w:lineRule="auto"/>
      </w:pPr>
      <w:r>
        <w:t>AICc comparisons find that the best fit difference-in-difference models include covariates controlling for observer, but that including PDO data has no significant impact on model fit. Therefore evaluation of the parallel trends assumption includes controls for observer. For both odd- and even-year runs, p</w:t>
      </w:r>
      <w:r>
        <w:t xml:space="preserve">ink salmon abundances at Indian River do not differ significantly from those observed in </w:t>
      </w:r>
      <w:r>
        <w:t>either</w:t>
      </w:r>
      <w:r>
        <w:t xml:space="preserve"> pre-treatment period elsewhere in the region (Figure 4)</w:t>
      </w:r>
      <w:r>
        <w:t>, meaning that the parallel trends assumption holds in all cases and there is no need to construct synthetic control groups</w:t>
      </w:r>
      <w:r>
        <w:t>.</w:t>
      </w:r>
    </w:p>
    <w:p w14:paraId="3620DE9F" w14:textId="77777777" w:rsidR="00AD2CBF" w:rsidRDefault="00AD2CBF" w:rsidP="00564645">
      <w:pPr>
        <w:spacing w:after="0" w:line="480" w:lineRule="auto"/>
        <w:ind w:firstLine="360"/>
      </w:pPr>
    </w:p>
    <w:p w14:paraId="33728C53" w14:textId="35533ADF" w:rsidR="00CD7149" w:rsidRDefault="00CD7149">
      <w:r>
        <w:br w:type="page"/>
      </w:r>
    </w:p>
    <w:p w14:paraId="55065E58" w14:textId="705E2DEF" w:rsidR="00897510" w:rsidRDefault="00CD7149" w:rsidP="004A17BC">
      <w:pPr>
        <w:spacing w:after="0" w:line="480" w:lineRule="auto"/>
      </w:pPr>
      <w:r>
        <w:lastRenderedPageBreak/>
        <w:t xml:space="preserve">The effect of SJH operations commencing in 1980 drove a significant increase in odd-year pink salmon abundances at Indian River, while no significant impact was found affecting even-year runs (Table 3). The expansion of permitted pink salmon releases from 1 million to 3 million in 2010 significantly increased in both even- and odd-year abundances. The difference in time periods (pre- and post-1980, and pre- and post-2010) was a significant driver of pink salmon abundances both at Indian River and throughout the </w:t>
      </w:r>
      <w:r w:rsidRPr="003C6E79">
        <w:rPr>
          <w:i/>
          <w:iCs/>
        </w:rPr>
        <w:t>north southeast (outside)</w:t>
      </w:r>
      <w:r>
        <w:t xml:space="preserve"> region. This result is consistent with trends seen in ADFG’s survey data (Figures 2 &amp; 3), as well as the estimated states of pink salmon abundance depicted in Figures 4 &amp; 5.</w:t>
      </w:r>
    </w:p>
    <w:p w14:paraId="79560A1D" w14:textId="77777777" w:rsidR="00447811" w:rsidRDefault="00447811" w:rsidP="004A17BC">
      <w:pPr>
        <w:spacing w:after="0" w:line="480" w:lineRule="auto"/>
      </w:pPr>
    </w:p>
    <w:p w14:paraId="3F9922E5" w14:textId="13D779CD" w:rsidR="00447811" w:rsidRDefault="00447811" w:rsidP="00447811">
      <w:pPr>
        <w:spacing w:after="0" w:line="480" w:lineRule="auto"/>
        <w:ind w:firstLine="720"/>
      </w:pPr>
      <w:r>
        <w:t xml:space="preserve">Best fit difference-in-difference models find no significant effect related to the commencement or the expansion of hatchery operations at Indian River for either run.   </w:t>
      </w:r>
    </w:p>
    <w:sectPr w:rsidR="004478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6T05:46:00Z" w:initials="s">
    <w:p w14:paraId="23B8F9E0" w14:textId="77777777" w:rsidR="004A17BC" w:rsidRDefault="004A17BC">
      <w:pPr>
        <w:pStyle w:val="CommentText"/>
      </w:pPr>
      <w:r>
        <w:rPr>
          <w:rStyle w:val="CommentReference"/>
        </w:rPr>
        <w:annotationRef/>
      </w:r>
      <w:r>
        <w:t>This also reads like a proposal. I’d like to see a statement of the specific question(s), 1+ hypotheses as to why you think that, and then some predictions that could be tested via model fitting and comparisons.</w:t>
      </w:r>
    </w:p>
  </w:comment>
  <w:comment w:id="1" w:author="Mark Scheuerell" w:date="2026-03-06T06:06:00Z" w:initials="s">
    <w:p w14:paraId="432A4485" w14:textId="77777777" w:rsidR="00EF660E" w:rsidRDefault="00EF660E">
      <w:pPr>
        <w:pStyle w:val="CommentText"/>
      </w:pPr>
      <w:r>
        <w:rPr>
          <w:rStyle w:val="CommentReference"/>
        </w:rPr>
        <w:annotationRef/>
      </w:r>
      <w:r>
        <w:t>Set this up to reflect the different hypotheses and predictions you set up in the intro.</w:t>
      </w:r>
    </w:p>
  </w:comment>
  <w:comment w:id="2" w:author="Mark Scheuerell" w:date="2026-03-06T06:07:00Z" w:initials="s">
    <w:p w14:paraId="19A8141D" w14:textId="77777777" w:rsidR="00E77D5F" w:rsidRDefault="00E77D5F">
      <w:pPr>
        <w:pStyle w:val="CommentText"/>
      </w:pPr>
      <w:r>
        <w:rPr>
          <w:rStyle w:val="CommentReference"/>
        </w:rPr>
        <w:annotationRef/>
      </w:r>
      <w:r>
        <w:t>These are statements about results and discussion and not methods.</w:t>
      </w:r>
    </w:p>
  </w:comment>
  <w:comment w:id="4" w:author="Mark Scheuerell" w:date="2026-03-06T06:14:00Z" w:initials="s">
    <w:p w14:paraId="4040A555" w14:textId="77777777" w:rsidR="00897510" w:rsidRDefault="00897510" w:rsidP="00897510">
      <w:pPr>
        <w:pStyle w:val="CommentText"/>
      </w:pPr>
      <w:r>
        <w:rPr>
          <w:rStyle w:val="CommentReference"/>
        </w:rPr>
        <w:annotationRef/>
      </w:r>
      <w:r>
        <w:t>I don’t think it’s necessary to explain how these tests work. Rather, you can just assert that you used them and cite a good ref.</w:t>
      </w:r>
    </w:p>
    <w:p w14:paraId="0B137238" w14:textId="77777777" w:rsidR="00897510" w:rsidRDefault="00897510" w:rsidP="00897510">
      <w:pPr>
        <w:pStyle w:val="CommentText"/>
      </w:pPr>
    </w:p>
    <w:p w14:paraId="041174A3" w14:textId="77777777" w:rsidR="00897510" w:rsidRDefault="00897510" w:rsidP="00897510">
      <w:pPr>
        <w:pStyle w:val="CommentText"/>
      </w:pPr>
      <w:r>
        <w:t>Also, note that you don’t have to first-difference a ts to remove a trend. You could instead include an explicit trend term in the model.</w:t>
      </w:r>
    </w:p>
  </w:comment>
  <w:comment w:id="3" w:author="Brian E McGreal" w:date="2026-03-26T16:39:00Z" w:initials="BM">
    <w:p w14:paraId="2CB43DB9" w14:textId="77777777" w:rsidR="00897510" w:rsidRDefault="00897510" w:rsidP="00E82478">
      <w:pPr>
        <w:pStyle w:val="CommentText"/>
      </w:pPr>
      <w:r>
        <w:rPr>
          <w:rStyle w:val="CommentReference"/>
        </w:rPr>
        <w:annotationRef/>
      </w:r>
      <w:r>
        <w:t>This whole paragraph  must be rewritten to reflect new approach</w:t>
      </w:r>
    </w:p>
  </w:comment>
  <w:comment w:id="5" w:author="Mark Scheuerell" w:date="2026-03-06T06:19:00Z" w:initials="s">
    <w:p w14:paraId="0749195C" w14:textId="77777777" w:rsidR="00AD2CBF" w:rsidRDefault="00AD2CBF">
      <w:pPr>
        <w:pStyle w:val="CommentText"/>
      </w:pPr>
      <w:r>
        <w:rPr>
          <w:rStyle w:val="CommentReference"/>
        </w:rPr>
        <w:annotationRef/>
      </w:r>
      <w:r>
        <w:t>Try revising this to be in the first person (eg, “I assigned…”)</w:t>
      </w:r>
    </w:p>
  </w:comment>
  <w:comment w:id="6" w:author="Mark Scheuerell" w:date="2026-03-06T06:21:00Z" w:initials="s">
    <w:p w14:paraId="5C2D32BE" w14:textId="77777777" w:rsidR="00BF3F86" w:rsidRDefault="00BF3F86">
      <w:pPr>
        <w:pStyle w:val="CommentText"/>
      </w:pPr>
      <w:r>
        <w:rPr>
          <w:rStyle w:val="CommentReference"/>
        </w:rPr>
        <w:annotationRef/>
      </w:r>
      <w:r>
        <w:t>It’s conventional to write the methods for a paper in the past tense because you’ve already done the work (as compared to a proposal)</w:t>
      </w:r>
    </w:p>
  </w:comment>
  <w:comment w:id="8" w:author="Mark Scheuerell" w:date="2026-03-06T06:22:00Z" w:initials="s">
    <w:p w14:paraId="604409F2" w14:textId="77777777" w:rsidR="00014224" w:rsidRDefault="00014224">
      <w:pPr>
        <w:pStyle w:val="CommentText"/>
      </w:pPr>
      <w:r>
        <w:rPr>
          <w:rStyle w:val="CommentReference"/>
        </w:rPr>
        <w:annotationRef/>
      </w:r>
      <w:r>
        <w:t>This seems repeated from the intro</w:t>
      </w:r>
    </w:p>
  </w:comment>
  <w:comment w:id="9" w:author="Brian E McGreal" w:date="2026-03-27T17:23:00Z" w:initials="BM">
    <w:p w14:paraId="3DC35925" w14:textId="77777777" w:rsidR="00014224" w:rsidRDefault="00014224" w:rsidP="00014224">
      <w:pPr>
        <w:pStyle w:val="CommentText"/>
      </w:pPr>
      <w:r>
        <w:rPr>
          <w:rStyle w:val="CommentReference"/>
        </w:rPr>
        <w:annotationRef/>
      </w:r>
      <w:r>
        <w:t>I don’t see where this is discussed. I can add it into the intro.</w:t>
      </w:r>
    </w:p>
  </w:comment>
  <w:comment w:id="7" w:author="Mark Scheuerell" w:date="2026-03-06T06:28:00Z" w:initials="s">
    <w:p w14:paraId="5F66190E" w14:textId="77777777" w:rsidR="00014224" w:rsidRDefault="00014224">
      <w:pPr>
        <w:pStyle w:val="CommentText"/>
      </w:pPr>
      <w:r>
        <w:rPr>
          <w:rStyle w:val="CommentReference"/>
        </w:rPr>
        <w:annotationRef/>
      </w:r>
      <w:r>
        <w:t>Now that I read the following paragraph, I think these could be deleted.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8F9E0" w15:done="0"/>
  <w15:commentEx w15:paraId="432A4485" w15:done="0"/>
  <w15:commentEx w15:paraId="19A8141D" w15:done="0"/>
  <w15:commentEx w15:paraId="041174A3" w15:done="0"/>
  <w15:commentEx w15:paraId="2CB43DB9" w15:done="0"/>
  <w15:commentEx w15:paraId="0749195C" w15:done="0"/>
  <w15:commentEx w15:paraId="5C2D32BE" w15:done="0"/>
  <w15:commentEx w15:paraId="604409F2" w15:done="0"/>
  <w15:commentEx w15:paraId="3DC35925" w15:paraIdParent="604409F2" w15:done="0"/>
  <w15:commentEx w15:paraId="5F6619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B74590" w16cex:dateUtc="2026-03-06T13:46:00Z"/>
  <w16cex:commentExtensible w16cex:durableId="19E36753" w16cex:dateUtc="2026-03-06T14:06:00Z"/>
  <w16cex:commentExtensible w16cex:durableId="1619274C" w16cex:dateUtc="2026-03-06T14:07:00Z"/>
  <w16cex:commentExtensible w16cex:durableId="6C28095E" w16cex:dateUtc="2026-03-06T14:14:00Z"/>
  <w16cex:commentExtensible w16cex:durableId="11B5581F" w16cex:dateUtc="2026-03-26T23:39:00Z"/>
  <w16cex:commentExtensible w16cex:durableId="0860A86C" w16cex:dateUtc="2026-03-06T14:19:00Z"/>
  <w16cex:commentExtensible w16cex:durableId="738ABEEB" w16cex:dateUtc="2026-03-06T14:21:00Z"/>
  <w16cex:commentExtensible w16cex:durableId="588C617E" w16cex:dateUtc="2026-03-06T14:22:00Z"/>
  <w16cex:commentExtensible w16cex:durableId="3D0540C0" w16cex:dateUtc="2026-03-28T00:23:00Z"/>
  <w16cex:commentExtensible w16cex:durableId="4F05BC0A" w16cex:dateUtc="2026-03-06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8F9E0" w16cid:durableId="40B74590"/>
  <w16cid:commentId w16cid:paraId="432A4485" w16cid:durableId="19E36753"/>
  <w16cid:commentId w16cid:paraId="19A8141D" w16cid:durableId="1619274C"/>
  <w16cid:commentId w16cid:paraId="041174A3" w16cid:durableId="6C28095E"/>
  <w16cid:commentId w16cid:paraId="2CB43DB9" w16cid:durableId="11B5581F"/>
  <w16cid:commentId w16cid:paraId="0749195C" w16cid:durableId="0860A86C"/>
  <w16cid:commentId w16cid:paraId="5C2D32BE" w16cid:durableId="738ABEEB"/>
  <w16cid:commentId w16cid:paraId="604409F2" w16cid:durableId="588C617E"/>
  <w16cid:commentId w16cid:paraId="3DC35925" w16cid:durableId="3D0540C0"/>
  <w16cid:commentId w16cid:paraId="5F66190E" w16cid:durableId="4F05BC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rson w15:author="Brian E McGreal">
    <w15:presenceInfo w15:providerId="AD" w15:userId="S::bmcgreal@uw.edu::500ccbb3-e957-4a38-850c-c0c2fd4a68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2A6"/>
    <w:rsid w:val="00014224"/>
    <w:rsid w:val="000473CA"/>
    <w:rsid w:val="00096995"/>
    <w:rsid w:val="001D249A"/>
    <w:rsid w:val="002A1D18"/>
    <w:rsid w:val="002F1F1F"/>
    <w:rsid w:val="00396E9D"/>
    <w:rsid w:val="00447811"/>
    <w:rsid w:val="00494012"/>
    <w:rsid w:val="004A17BC"/>
    <w:rsid w:val="005012A6"/>
    <w:rsid w:val="00564645"/>
    <w:rsid w:val="00655324"/>
    <w:rsid w:val="00657247"/>
    <w:rsid w:val="006B1EA6"/>
    <w:rsid w:val="006C7056"/>
    <w:rsid w:val="008823CF"/>
    <w:rsid w:val="00897510"/>
    <w:rsid w:val="0093424C"/>
    <w:rsid w:val="009C4221"/>
    <w:rsid w:val="00A5673D"/>
    <w:rsid w:val="00AC31F5"/>
    <w:rsid w:val="00AD2CBF"/>
    <w:rsid w:val="00B9450F"/>
    <w:rsid w:val="00BF3F86"/>
    <w:rsid w:val="00BF7A7A"/>
    <w:rsid w:val="00C4640D"/>
    <w:rsid w:val="00C66ED1"/>
    <w:rsid w:val="00CD7149"/>
    <w:rsid w:val="00E77D5F"/>
    <w:rsid w:val="00E81D20"/>
    <w:rsid w:val="00EC7A1A"/>
    <w:rsid w:val="00ED2389"/>
    <w:rsid w:val="00EF660E"/>
    <w:rsid w:val="00FD44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B0658"/>
  <w15:chartTrackingRefBased/>
  <w15:docId w15:val="{EB010AC9-C822-43C9-8FD3-DDDED9BD0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12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12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12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12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12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12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12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12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12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2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12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12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12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12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12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12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12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12A6"/>
    <w:rPr>
      <w:rFonts w:eastAsiaTheme="majorEastAsia" w:cstheme="majorBidi"/>
      <w:color w:val="272727" w:themeColor="text1" w:themeTint="D8"/>
    </w:rPr>
  </w:style>
  <w:style w:type="paragraph" w:styleId="Title">
    <w:name w:val="Title"/>
    <w:basedOn w:val="Normal"/>
    <w:next w:val="Normal"/>
    <w:link w:val="TitleChar"/>
    <w:uiPriority w:val="10"/>
    <w:qFormat/>
    <w:rsid w:val="005012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12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12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12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12A6"/>
    <w:pPr>
      <w:spacing w:before="160"/>
      <w:jc w:val="center"/>
    </w:pPr>
    <w:rPr>
      <w:i/>
      <w:iCs/>
      <w:color w:val="404040" w:themeColor="text1" w:themeTint="BF"/>
    </w:rPr>
  </w:style>
  <w:style w:type="character" w:customStyle="1" w:styleId="QuoteChar">
    <w:name w:val="Quote Char"/>
    <w:basedOn w:val="DefaultParagraphFont"/>
    <w:link w:val="Quote"/>
    <w:uiPriority w:val="29"/>
    <w:rsid w:val="005012A6"/>
    <w:rPr>
      <w:i/>
      <w:iCs/>
      <w:color w:val="404040" w:themeColor="text1" w:themeTint="BF"/>
    </w:rPr>
  </w:style>
  <w:style w:type="paragraph" w:styleId="ListParagraph">
    <w:name w:val="List Paragraph"/>
    <w:basedOn w:val="Normal"/>
    <w:uiPriority w:val="34"/>
    <w:qFormat/>
    <w:rsid w:val="005012A6"/>
    <w:pPr>
      <w:ind w:left="720"/>
      <w:contextualSpacing/>
    </w:pPr>
  </w:style>
  <w:style w:type="character" w:styleId="IntenseEmphasis">
    <w:name w:val="Intense Emphasis"/>
    <w:basedOn w:val="DefaultParagraphFont"/>
    <w:uiPriority w:val="21"/>
    <w:qFormat/>
    <w:rsid w:val="005012A6"/>
    <w:rPr>
      <w:i/>
      <w:iCs/>
      <w:color w:val="2F5496" w:themeColor="accent1" w:themeShade="BF"/>
    </w:rPr>
  </w:style>
  <w:style w:type="paragraph" w:styleId="IntenseQuote">
    <w:name w:val="Intense Quote"/>
    <w:basedOn w:val="Normal"/>
    <w:next w:val="Normal"/>
    <w:link w:val="IntenseQuoteChar"/>
    <w:uiPriority w:val="30"/>
    <w:qFormat/>
    <w:rsid w:val="005012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12A6"/>
    <w:rPr>
      <w:i/>
      <w:iCs/>
      <w:color w:val="2F5496" w:themeColor="accent1" w:themeShade="BF"/>
    </w:rPr>
  </w:style>
  <w:style w:type="character" w:styleId="IntenseReference">
    <w:name w:val="Intense Reference"/>
    <w:basedOn w:val="DefaultParagraphFont"/>
    <w:uiPriority w:val="32"/>
    <w:qFormat/>
    <w:rsid w:val="005012A6"/>
    <w:rPr>
      <w:b/>
      <w:bCs/>
      <w:smallCaps/>
      <w:color w:val="2F5496" w:themeColor="accent1" w:themeShade="BF"/>
      <w:spacing w:val="5"/>
    </w:rPr>
  </w:style>
  <w:style w:type="character" w:styleId="CommentReference">
    <w:name w:val="annotation reference"/>
    <w:basedOn w:val="DefaultParagraphFont"/>
    <w:uiPriority w:val="99"/>
    <w:semiHidden/>
    <w:unhideWhenUsed/>
    <w:rsid w:val="005012A6"/>
    <w:rPr>
      <w:sz w:val="16"/>
      <w:szCs w:val="16"/>
    </w:rPr>
  </w:style>
  <w:style w:type="paragraph" w:styleId="CommentText">
    <w:name w:val="annotation text"/>
    <w:basedOn w:val="Normal"/>
    <w:link w:val="CommentTextChar"/>
    <w:uiPriority w:val="99"/>
    <w:unhideWhenUsed/>
    <w:rsid w:val="005012A6"/>
    <w:pPr>
      <w:spacing w:line="240" w:lineRule="auto"/>
    </w:pPr>
    <w:rPr>
      <w:sz w:val="20"/>
      <w:szCs w:val="20"/>
    </w:rPr>
  </w:style>
  <w:style w:type="character" w:customStyle="1" w:styleId="CommentTextChar">
    <w:name w:val="Comment Text Char"/>
    <w:basedOn w:val="DefaultParagraphFont"/>
    <w:link w:val="CommentText"/>
    <w:uiPriority w:val="99"/>
    <w:rsid w:val="005012A6"/>
    <w:rPr>
      <w:sz w:val="20"/>
      <w:szCs w:val="20"/>
    </w:rPr>
  </w:style>
  <w:style w:type="paragraph" w:styleId="CommentSubject">
    <w:name w:val="annotation subject"/>
    <w:basedOn w:val="CommentText"/>
    <w:next w:val="CommentText"/>
    <w:link w:val="CommentSubjectChar"/>
    <w:uiPriority w:val="99"/>
    <w:semiHidden/>
    <w:unhideWhenUsed/>
    <w:rsid w:val="00014224"/>
    <w:rPr>
      <w:b/>
      <w:bCs/>
    </w:rPr>
  </w:style>
  <w:style w:type="character" w:customStyle="1" w:styleId="CommentSubjectChar">
    <w:name w:val="Comment Subject Char"/>
    <w:basedOn w:val="CommentTextChar"/>
    <w:link w:val="CommentSubject"/>
    <w:uiPriority w:val="99"/>
    <w:semiHidden/>
    <w:rsid w:val="000142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microsoft.com/office/2011/relationships/people" Target="people.xml"/><Relationship Id="rId4" Type="http://schemas.openxmlformats.org/officeDocument/2006/relationships/comments" Target="commen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628</TotalTime>
  <Pages>14</Pages>
  <Words>2611</Words>
  <Characters>14888</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9</cp:revision>
  <dcterms:created xsi:type="dcterms:W3CDTF">2026-03-25T18:50:00Z</dcterms:created>
  <dcterms:modified xsi:type="dcterms:W3CDTF">2026-03-31T00:53:00Z</dcterms:modified>
</cp:coreProperties>
</file>