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7459" w14:textId="660FD6F5" w:rsidR="00135D72" w:rsidRPr="00135D72" w:rsidRDefault="00135D72" w:rsidP="00B06C31">
      <w:pPr>
        <w:suppressLineNumbers/>
        <w:spacing w:after="0" w:line="240" w:lineRule="auto"/>
      </w:pPr>
      <w:r>
        <w:t>Salmonid survey piece</w:t>
      </w:r>
    </w:p>
    <w:p w14:paraId="1DE770B9" w14:textId="77777777" w:rsidR="00135D72" w:rsidRPr="00135D72" w:rsidRDefault="00135D72" w:rsidP="00B06C31">
      <w:pPr>
        <w:suppressLineNumbers/>
        <w:spacing w:after="0" w:line="240" w:lineRule="auto"/>
      </w:pPr>
    </w:p>
    <w:p w14:paraId="52DC1C62" w14:textId="77777777" w:rsidR="00135D72" w:rsidRPr="00135D72" w:rsidRDefault="00135D72" w:rsidP="00B06C31">
      <w:pPr>
        <w:suppressLineNumbers/>
        <w:spacing w:after="0" w:line="240" w:lineRule="auto"/>
      </w:pPr>
      <w:r w:rsidRPr="00135D72">
        <w:t>Brian McGreal</w:t>
      </w:r>
    </w:p>
    <w:p w14:paraId="6139B7C3" w14:textId="77777777" w:rsidR="00135D72" w:rsidRPr="00135D72" w:rsidRDefault="00135D72" w:rsidP="00B06C31">
      <w:pPr>
        <w:suppressLineNumbers/>
        <w:spacing w:after="0" w:line="240" w:lineRule="auto"/>
      </w:pPr>
      <w:r w:rsidRPr="00135D72">
        <w:t>Quantitative Ecology and Resource Management</w:t>
      </w:r>
    </w:p>
    <w:p w14:paraId="7E4B9DB6" w14:textId="77777777" w:rsidR="00135D72" w:rsidRPr="00135D72" w:rsidRDefault="00135D72" w:rsidP="00B06C31">
      <w:pPr>
        <w:suppressLineNumbers/>
        <w:spacing w:after="0" w:line="240" w:lineRule="auto"/>
      </w:pPr>
      <w:r w:rsidRPr="00135D72">
        <w:t>University of Washington</w:t>
      </w:r>
    </w:p>
    <w:p w14:paraId="35EE4235" w14:textId="77777777" w:rsidR="00135D72" w:rsidRPr="00135D72" w:rsidRDefault="00135D72" w:rsidP="00B06C31">
      <w:pPr>
        <w:suppressLineNumbers/>
        <w:spacing w:after="0" w:line="240" w:lineRule="auto"/>
      </w:pPr>
      <w:r w:rsidRPr="00135D72">
        <w:t>Seattle, WA</w:t>
      </w:r>
    </w:p>
    <w:p w14:paraId="106EC519" w14:textId="77777777" w:rsidR="00135D72" w:rsidRPr="00135D72" w:rsidRDefault="00135D72" w:rsidP="00B06C31">
      <w:pPr>
        <w:suppressLineNumbers/>
        <w:spacing w:after="0" w:line="240" w:lineRule="auto"/>
      </w:pPr>
    </w:p>
    <w:p w14:paraId="4C3FC797" w14:textId="77777777" w:rsidR="00135D72" w:rsidRPr="00135D72" w:rsidRDefault="00135D72" w:rsidP="00B06C31">
      <w:pPr>
        <w:suppressLineNumbers/>
        <w:spacing w:after="0" w:line="240" w:lineRule="auto"/>
      </w:pPr>
      <w:r w:rsidRPr="00135D72">
        <w:t>Mark D. Scheuerell</w:t>
      </w:r>
    </w:p>
    <w:p w14:paraId="45D8C073" w14:textId="77777777" w:rsidR="00135D72" w:rsidRPr="00135D72" w:rsidRDefault="00135D72" w:rsidP="00B06C31">
      <w:pPr>
        <w:suppressLineNumbers/>
        <w:spacing w:after="0" w:line="240" w:lineRule="auto"/>
      </w:pPr>
      <w:r w:rsidRPr="00135D72">
        <w:t>U.S. Geological Survey, Washington Cooperative Fish and Wildlife Research Unit</w:t>
      </w:r>
    </w:p>
    <w:p w14:paraId="275BD864" w14:textId="77777777" w:rsidR="00135D72" w:rsidRPr="00135D72" w:rsidRDefault="00135D72" w:rsidP="00B06C31">
      <w:pPr>
        <w:suppressLineNumbers/>
        <w:spacing w:after="0" w:line="240" w:lineRule="auto"/>
      </w:pPr>
      <w:r w:rsidRPr="00135D72">
        <w:t>School of Aquatic and Fishery Sciences</w:t>
      </w:r>
    </w:p>
    <w:p w14:paraId="09893B4A" w14:textId="77777777" w:rsidR="00135D72" w:rsidRPr="00135D72" w:rsidRDefault="00135D72" w:rsidP="00B06C31">
      <w:pPr>
        <w:suppressLineNumbers/>
        <w:spacing w:after="0" w:line="240" w:lineRule="auto"/>
      </w:pPr>
      <w:r w:rsidRPr="00135D72">
        <w:t>University of Washington</w:t>
      </w:r>
    </w:p>
    <w:p w14:paraId="70B439E1" w14:textId="77777777" w:rsidR="00135D72" w:rsidRPr="00135D72" w:rsidRDefault="00135D72" w:rsidP="00B06C31">
      <w:pPr>
        <w:suppressLineNumbers/>
        <w:spacing w:after="0" w:line="240" w:lineRule="auto"/>
      </w:pPr>
      <w:r w:rsidRPr="00135D72">
        <w:t>Seattle, WA</w:t>
      </w:r>
    </w:p>
    <w:p w14:paraId="4D1D6F30" w14:textId="77777777" w:rsidR="00135D72" w:rsidRPr="00135D72" w:rsidRDefault="00135D72" w:rsidP="00B06C31">
      <w:pPr>
        <w:suppressLineNumbers/>
        <w:spacing w:after="0" w:line="240" w:lineRule="auto"/>
      </w:pPr>
    </w:p>
    <w:p w14:paraId="7D3F676A" w14:textId="30A199C4" w:rsidR="00135D72" w:rsidRPr="00135D72" w:rsidRDefault="00135D72" w:rsidP="00B06C31">
      <w:pPr>
        <w:suppressLineNumbers/>
        <w:spacing w:after="0" w:line="240" w:lineRule="auto"/>
      </w:pPr>
      <w:r>
        <w:t>William K. Jaeger</w:t>
      </w:r>
    </w:p>
    <w:p w14:paraId="046F4BB1" w14:textId="3C9E90FE" w:rsidR="00135D72" w:rsidRPr="00135D72" w:rsidRDefault="00135D72" w:rsidP="00B06C31">
      <w:pPr>
        <w:suppressLineNumbers/>
        <w:spacing w:after="0" w:line="240" w:lineRule="auto"/>
      </w:pPr>
      <w:r>
        <w:t>Department of Applied Economics</w:t>
      </w:r>
    </w:p>
    <w:p w14:paraId="3CB77448" w14:textId="49EE7041" w:rsidR="00135D72" w:rsidRPr="00135D72" w:rsidRDefault="00135D72" w:rsidP="00B06C31">
      <w:pPr>
        <w:suppressLineNumbers/>
        <w:spacing w:after="0" w:line="240" w:lineRule="auto"/>
      </w:pPr>
      <w:r>
        <w:t>Oregon State University</w:t>
      </w:r>
    </w:p>
    <w:p w14:paraId="64F4C3B9" w14:textId="66768E64" w:rsidR="00135D72" w:rsidRDefault="00135D72" w:rsidP="00B06C31">
      <w:pPr>
        <w:suppressLineNumbers/>
        <w:spacing w:after="0" w:line="240" w:lineRule="auto"/>
      </w:pPr>
      <w:r>
        <w:t>Corvallis, OR</w:t>
      </w:r>
    </w:p>
    <w:p w14:paraId="3F37E193" w14:textId="77777777" w:rsidR="0002450B" w:rsidRDefault="0002450B" w:rsidP="00B06C31">
      <w:pPr>
        <w:suppressLineNumbers/>
        <w:spacing w:after="0" w:line="240" w:lineRule="auto"/>
      </w:pPr>
    </w:p>
    <w:p w14:paraId="3A971A92" w14:textId="4198BFA2" w:rsidR="0002450B" w:rsidRDefault="0002450B" w:rsidP="00B06C31">
      <w:pPr>
        <w:suppressLineNumbers/>
        <w:spacing w:after="0" w:line="240" w:lineRule="auto"/>
      </w:pPr>
      <w:r>
        <w:t>(potentially)</w:t>
      </w:r>
    </w:p>
    <w:p w14:paraId="645BA244" w14:textId="17C46402" w:rsidR="0002450B" w:rsidRDefault="0002450B" w:rsidP="00B06C31">
      <w:pPr>
        <w:suppressLineNumbers/>
        <w:spacing w:after="0" w:line="240" w:lineRule="auto"/>
      </w:pPr>
      <w:r>
        <w:t>Kasey Bliesner - ODFW</w:t>
      </w:r>
    </w:p>
    <w:p w14:paraId="65045B3F" w14:textId="3E1BFF29" w:rsidR="0002450B" w:rsidRPr="00135D72" w:rsidRDefault="0002450B" w:rsidP="00B06C31">
      <w:pPr>
        <w:suppressLineNumbers/>
        <w:spacing w:after="0" w:line="240" w:lineRule="auto"/>
      </w:pPr>
      <w:r>
        <w:t>Jake Chambers - ODFW</w:t>
      </w:r>
    </w:p>
    <w:p w14:paraId="1D057AAF" w14:textId="77777777" w:rsidR="00135D72" w:rsidRPr="00135D72" w:rsidRDefault="00135D72" w:rsidP="00B06C31">
      <w:pPr>
        <w:suppressLineNumbers/>
        <w:spacing w:after="0" w:line="240" w:lineRule="auto"/>
      </w:pPr>
    </w:p>
    <w:p w14:paraId="2CA2619C" w14:textId="6AC75CE7" w:rsidR="00E75CC5" w:rsidRDefault="00E75CC5" w:rsidP="00E75CC5">
      <w:pPr>
        <w:suppressLineNumbers/>
      </w:pPr>
      <w:r w:rsidRPr="00783211">
        <w:t>The effectiveness of fisheries management and conservation policies depends on surveys designed to estimate the abundance of target species over time. A variety of survey methods are employed for these purposes, each characterized by some level of precision and</w:t>
      </w:r>
      <w:r>
        <w:t xml:space="preserve"> the potential for </w:t>
      </w:r>
      <w:r w:rsidRPr="00783211">
        <w:t xml:space="preserve">directional bias.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due to over- or under-estimation of their numbers. </w:t>
      </w:r>
      <w:r>
        <w:t>This study</w:t>
      </w:r>
      <w:r w:rsidRPr="00783211">
        <w:t xml:space="preserve"> estimate</w:t>
      </w:r>
      <w:r>
        <w:t>s</w:t>
      </w:r>
      <w:r w:rsidRPr="00783211">
        <w:t xml:space="preserve"> levels of precision and bias associated with 2</w:t>
      </w:r>
      <w:r>
        <w:t>8</w:t>
      </w:r>
      <w:r w:rsidRPr="00783211">
        <w:t xml:space="preserve"> survey methods commonly used by the Oregon Department of Fish and Wildlife to estimate the abundance of </w:t>
      </w:r>
      <w:r w:rsidR="00672622">
        <w:t>7</w:t>
      </w:r>
      <w:r w:rsidR="00420F90">
        <w:t>4</w:t>
      </w:r>
      <w:r w:rsidRPr="00783211">
        <w:t xml:space="preserve"> </w:t>
      </w:r>
      <w:r w:rsidR="00893916">
        <w:t>ESA</w:t>
      </w:r>
      <w:r w:rsidR="000C3781">
        <w:t xml:space="preserve"> threatened </w:t>
      </w:r>
      <w:r w:rsidRPr="00783211">
        <w:t>populations of Chinook (</w:t>
      </w:r>
      <w:r w:rsidRPr="008F0CDC">
        <w:rPr>
          <w:i/>
          <w:iCs/>
        </w:rPr>
        <w:t>Oncorhynchus tshawytscha</w:t>
      </w:r>
      <w:r w:rsidRPr="00783211">
        <w:t>) and coho salmon (</w:t>
      </w:r>
      <w:r w:rsidRPr="008F0CDC">
        <w:rPr>
          <w:i/>
          <w:iCs/>
        </w:rPr>
        <w:t>O. kisutch</w:t>
      </w:r>
      <w:r w:rsidRPr="00783211">
        <w:t>), and steelhead trout (</w:t>
      </w:r>
      <w:r w:rsidRPr="008F0CDC">
        <w:rPr>
          <w:i/>
          <w:iCs/>
        </w:rPr>
        <w:t>O. mykiss</w:t>
      </w:r>
      <w:r w:rsidRPr="00783211">
        <w:t xml:space="preserve">), from 1980 to 2022. </w:t>
      </w:r>
      <w:r>
        <w:t>Using</w:t>
      </w:r>
      <w:r w:rsidRPr="00783211">
        <w:t xml:space="preserve"> multivariate autoregressive state-space models (MARSS), w</w:t>
      </w:r>
      <w:r>
        <w:t>e</w:t>
      </w:r>
      <w:r w:rsidRPr="00783211">
        <w:t xml:space="preserve"> distinguish observation (sampling) error from process (environmental) error</w:t>
      </w:r>
      <w:r>
        <w:t xml:space="preserve"> and estimate directional bias at the level of individual methods</w:t>
      </w:r>
      <w:r w:rsidRPr="00783211">
        <w:t>. We f</w:t>
      </w:r>
      <w:r>
        <w:t>ind</w:t>
      </w:r>
      <w:r w:rsidRPr="00783211">
        <w:t xml:space="preserve"> that, while some survey methods are generally more precise than others (dam counts, weir counts, and redd counts are highly precise), the same survey methods can have very different levels of precision and biases when applied to different species.</w:t>
      </w:r>
      <w:r>
        <w:t xml:space="preserve"> Additionally, we investigate the extent to which individual populations are subject to inherent imprecision and bias as a result of the survey methods historically employed in monitoring efforts.</w:t>
      </w:r>
    </w:p>
    <w:p w14:paraId="2632A4A2" w14:textId="77777777" w:rsidR="00845D21" w:rsidRPr="005915DE" w:rsidRDefault="00845D21" w:rsidP="002F397B">
      <w:pPr>
        <w:spacing w:after="0" w:line="480" w:lineRule="auto"/>
        <w:rPr>
          <w:b/>
          <w:bCs/>
          <w:u w:val="single"/>
        </w:rPr>
      </w:pPr>
      <w:commentRangeStart w:id="0"/>
      <w:r w:rsidRPr="005915DE">
        <w:rPr>
          <w:b/>
          <w:bCs/>
          <w:u w:val="single"/>
        </w:rPr>
        <w:lastRenderedPageBreak/>
        <w:t xml:space="preserve">Introduction </w:t>
      </w:r>
      <w:commentRangeEnd w:id="0"/>
      <w:r w:rsidR="008D306D" w:rsidRPr="005915DE">
        <w:rPr>
          <w:rStyle w:val="CommentReference"/>
          <w:b/>
          <w:bCs/>
          <w:sz w:val="24"/>
          <w:szCs w:val="24"/>
          <w:u w:val="single"/>
        </w:rPr>
        <w:commentReference w:id="0"/>
      </w:r>
    </w:p>
    <w:p w14:paraId="0759501B" w14:textId="433EEC6E" w:rsidR="00F97D86" w:rsidRDefault="00845D21" w:rsidP="002F397B">
      <w:pPr>
        <w:spacing w:after="0" w:line="480" w:lineRule="auto"/>
      </w:pPr>
      <w:r>
        <w:t xml:space="preserve">The conservation of salmon and trout for environmental, tribal, commercial, and recreational use is of tremendous importance to fish and wildlife agencies in the Pacific Northwest. Additionally, multiple Evolutionarily Significant Units </w:t>
      </w:r>
      <w:r w:rsidR="002F5D1A">
        <w:t xml:space="preserve">(ESUs) </w:t>
      </w:r>
      <w:r>
        <w:t>comprising many salmonid populations are protected under the US Endangered Species Act of 1973 (National Oceanic and Atmospheric Administration 2025</w:t>
      </w:r>
      <w:r w:rsidR="00752C5D">
        <w:t>a</w:t>
      </w:r>
      <w:r>
        <w:t xml:space="preserve">). Since 1980, the state of Oregon alone has spent over $9 billion in the effort to protect and restore populations of steelhead trout </w:t>
      </w:r>
      <w:r w:rsidR="00974AB5" w:rsidRPr="005915DE">
        <w:rPr>
          <w:rFonts w:cstheme="minorHAnsi"/>
          <w:color w:val="202122"/>
          <w:shd w:val="clear" w:color="auto" w:fill="FFFFFF"/>
        </w:rPr>
        <w:t>(</w:t>
      </w:r>
      <w:r w:rsidR="00974AB5" w:rsidRPr="005915DE">
        <w:rPr>
          <w:i/>
          <w:iCs/>
        </w:rPr>
        <w:t>Oncorhynchus</w:t>
      </w:r>
      <w:r w:rsidR="00974AB5" w:rsidRPr="005915DE">
        <w:rPr>
          <w:rFonts w:cstheme="minorHAnsi"/>
          <w:i/>
          <w:iCs/>
          <w:color w:val="202122"/>
          <w:shd w:val="clear" w:color="auto" w:fill="FFFFFF"/>
        </w:rPr>
        <w:t xml:space="preserve"> mykiss</w:t>
      </w:r>
      <w:r w:rsidR="00974AB5" w:rsidRPr="005915DE">
        <w:rPr>
          <w:rFonts w:cstheme="minorHAnsi"/>
          <w:color w:val="202122"/>
          <w:shd w:val="clear" w:color="auto" w:fill="FFFFFF"/>
        </w:rPr>
        <w:t xml:space="preserve">) </w:t>
      </w:r>
      <w:r>
        <w:t xml:space="preserve">and </w:t>
      </w:r>
      <w:r w:rsidR="00974AB5">
        <w:t xml:space="preserve">Pacific </w:t>
      </w:r>
      <w:r>
        <w:t xml:space="preserve">salmon </w:t>
      </w:r>
      <w:r w:rsidR="00974AB5">
        <w:t>(</w:t>
      </w:r>
      <w:r w:rsidR="00974AB5" w:rsidRPr="005915DE">
        <w:rPr>
          <w:i/>
          <w:iCs/>
        </w:rPr>
        <w:t>Oncorhynchus spp.</w:t>
      </w:r>
      <w:r w:rsidR="00974AB5">
        <w:t xml:space="preserve">) </w:t>
      </w:r>
      <w:r>
        <w:t xml:space="preserve">in the Columbia River Basin. However, the impacts of these restoration efforts remain difficult to quantify (Jaeger and Scheuerell 2023). To determine the value of investments like these, policymakers and fisheries managers need accurate assessments of the salmonid populations in question. </w:t>
      </w:r>
    </w:p>
    <w:p w14:paraId="3626C864" w14:textId="03F72794" w:rsidR="00845D21" w:rsidRDefault="00845D21" w:rsidP="0087694C">
      <w:pPr>
        <w:spacing w:after="0" w:line="480" w:lineRule="auto"/>
        <w:ind w:firstLine="720"/>
      </w:pPr>
      <w:r>
        <w:t xml:space="preserve">To </w:t>
      </w:r>
      <w:r w:rsidR="004A06FB">
        <w:t xml:space="preserve">manage harvest and </w:t>
      </w:r>
      <w:r w:rsidR="00F97D86">
        <w:t xml:space="preserve">assess the impact of conservation policy and interventions, </w:t>
      </w:r>
      <w:r>
        <w:t>various survey methods are employed</w:t>
      </w:r>
      <w:r w:rsidR="00F97D86">
        <w:t xml:space="preserve"> to estimate the abundance of target species over time.</w:t>
      </w:r>
      <w:r>
        <w:t xml:space="preserve"> </w:t>
      </w:r>
      <w:r w:rsidR="00F97D86">
        <w:t>E</w:t>
      </w:r>
      <w:r>
        <w:t>ach method</w:t>
      </w:r>
      <w:r w:rsidR="00F97D86">
        <w:t xml:space="preserve"> is</w:t>
      </w:r>
      <w:r>
        <w:t xml:space="preserve"> presumably characterized </w:t>
      </w:r>
      <w:r w:rsidR="00F97D86">
        <w:t xml:space="preserve">both </w:t>
      </w:r>
      <w:r>
        <w:t>by an inherent level of precision</w:t>
      </w:r>
      <w:r w:rsidR="00F97D86">
        <w:t xml:space="preserve"> and potentially some inherent directional bias</w:t>
      </w:r>
      <w:r w:rsidR="004A06FB">
        <w:t xml:space="preserve"> (Parsons and Skalski 2010)</w:t>
      </w:r>
      <w:r>
        <w:t>.</w:t>
      </w:r>
      <w:r w:rsidR="000B2866">
        <w:t xml:space="preserve"> Past studies have shown a </w:t>
      </w:r>
      <w:r w:rsidR="00047FF7">
        <w:t>posit</w:t>
      </w:r>
      <w:r w:rsidR="000B2866">
        <w:t>ive relationship between the intensity of sampling efforts and the precision of abundance estimates</w:t>
      </w:r>
      <w:r w:rsidR="00047FF7">
        <w:t xml:space="preserve"> in both aquatic and terrestrial species</w:t>
      </w:r>
      <w:r w:rsidR="000B2866">
        <w:t xml:space="preserve"> (Walsh et al. 2001, </w:t>
      </w:r>
      <w:r w:rsidR="00047FF7">
        <w:t xml:space="preserve">Nuno et al. 2013, Annear et al. 2024). This makes intuitive sense, and managers must </w:t>
      </w:r>
      <w:r w:rsidR="0087694C">
        <w:t>navigate the tradeoffs between more</w:t>
      </w:r>
      <w:r w:rsidR="00047FF7">
        <w:t xml:space="preserve"> intensive sampling efforts a</w:t>
      </w:r>
      <w:r w:rsidR="0087694C">
        <w:t>nd</w:t>
      </w:r>
      <w:r w:rsidR="00047FF7">
        <w:t xml:space="preserve"> the level of precision </w:t>
      </w:r>
      <w:r w:rsidR="009A09AD">
        <w:t>they hope to achieve.</w:t>
      </w:r>
      <w:r w:rsidR="000B2866">
        <w:t xml:space="preserve"> </w:t>
      </w:r>
      <w:r w:rsidR="009A09AD">
        <w:t>While low levels of precision in survey methods lead to low confidence in point estimates of population abundance or forecasts, directional bias presents a more pernicious problem as it may lead to the mismanagement of imperiled species</w:t>
      </w:r>
      <w:r w:rsidR="00752C5D">
        <w:t>, invasive species,</w:t>
      </w:r>
      <w:r w:rsidR="009A09AD">
        <w:t xml:space="preserve"> and commercially valuable </w:t>
      </w:r>
      <w:r w:rsidR="00752C5D">
        <w:t>populations,</w:t>
      </w:r>
      <w:r w:rsidR="009A09AD">
        <w:t xml:space="preserve"> </w:t>
      </w:r>
      <w:r w:rsidR="009A09AD">
        <w:lastRenderedPageBreak/>
        <w:t>due to over- or under-estimation</w:t>
      </w:r>
      <w:r w:rsidR="00752C5D">
        <w:t xml:space="preserve"> of their numbers</w:t>
      </w:r>
      <w:r w:rsidR="009A09AD">
        <w:t xml:space="preserve"> (</w:t>
      </w:r>
      <w:r w:rsidR="00752C5D">
        <w:t>Tracey and Fleming 2022, Satterthwaite and Shelton 2023</w:t>
      </w:r>
      <w:r w:rsidR="009A09AD">
        <w:t xml:space="preserve">). </w:t>
      </w:r>
      <w:r w:rsidR="00752C5D">
        <w:t xml:space="preserve">Indeed, in the United States, decisions of whether to list or de-list species as endangered under the Endangered Species Act are based on abundance estimates that may be influenced by such bias (National Oceanic and Atmospheric Administration 2025b). It has been shown that when directional bias can be </w:t>
      </w:r>
      <w:r w:rsidR="002B445C">
        <w:t>assessed</w:t>
      </w:r>
      <w:r w:rsidR="00752C5D">
        <w:t xml:space="preserve">, it may be </w:t>
      </w:r>
      <w:r w:rsidR="002B445C">
        <w:t>corrected</w:t>
      </w:r>
      <w:r w:rsidR="00752C5D">
        <w:t xml:space="preserve"> by combining multiple datasets using bias parameters </w:t>
      </w:r>
      <w:r w:rsidR="002B445C">
        <w:t>to</w:t>
      </w:r>
      <w:r w:rsidR="00752C5D">
        <w:t xml:space="preserve"> achieve more accurate measures of central </w:t>
      </w:r>
      <w:r w:rsidR="002B445C">
        <w:t>tendency in abundance estimates (Polansky et al. 2023).</w:t>
      </w:r>
      <w:r w:rsidR="00752C5D">
        <w:t xml:space="preserve"> </w:t>
      </w:r>
      <w:r w:rsidR="009A09AD">
        <w:t xml:space="preserve">  </w:t>
      </w:r>
      <w:r>
        <w:t xml:space="preserve"> </w:t>
      </w:r>
    </w:p>
    <w:p w14:paraId="50EB4717" w14:textId="791F922D" w:rsidR="00770080" w:rsidRDefault="00845D21" w:rsidP="00770080">
      <w:pPr>
        <w:spacing w:after="0" w:line="480" w:lineRule="auto"/>
        <w:ind w:firstLine="720"/>
      </w:pPr>
      <w:r>
        <w:t>Spawning salmon and trout are surveyed in freshwater using a variety of methods</w:t>
      </w:r>
      <w:r w:rsidR="005510AE">
        <w:t xml:space="preserve"> (Knudsen 2000)</w:t>
      </w:r>
      <w:r>
        <w:t>. Methods may vary from visual inspection of known spawning grounds to counts of salmon migrating up stream at fixed points to inferential methods estimating total escapement in a stream system based on periodic counts of spawners. Survey methods conducted at terminal spawning grounds include foot surveys of live fish, carcass counts, and visual inspection of salmonid nests known as redds (</w:t>
      </w:r>
      <w:r w:rsidR="00683692">
        <w:t xml:space="preserve">Johnson et al. 2007, </w:t>
      </w:r>
      <w:r>
        <w:t>Oregon Department of Fish and Wildlife 2024). Within streams, adult fish may be captured and counted at weirs before being released to continue their upstream migration (Anderson et al. 2015). A</w:t>
      </w:r>
      <w:r w:rsidR="006C6484">
        <w:t>nother</w:t>
      </w:r>
      <w:r>
        <w:t xml:space="preserve"> approach involves capturing salmonid</w:t>
      </w:r>
      <w:r w:rsidR="00F80C72">
        <w:t>s</w:t>
      </w:r>
      <w:r>
        <w:t xml:space="preserve"> as juveniles and fitting them with small passive integrated transponders</w:t>
      </w:r>
      <w:r w:rsidR="006C6484">
        <w:t xml:space="preserve"> (</w:t>
      </w:r>
      <w:r>
        <w:t>PIT-tags</w:t>
      </w:r>
      <w:r w:rsidR="006C6484">
        <w:t>)</w:t>
      </w:r>
      <w:r>
        <w:t xml:space="preserve">. This enables tagged fish to be electronically counted as adults years later, as the return to their natal spawning grounds takes them past sensor arrays (Lamb et al. 2024). </w:t>
      </w:r>
      <w:r w:rsidR="00CA18F7">
        <w:t xml:space="preserve">In more remote localities, aerial surveys are favored with fish being counted from </w:t>
      </w:r>
      <w:r w:rsidR="00893916">
        <w:t xml:space="preserve">either helicopter or </w:t>
      </w:r>
      <w:r w:rsidR="00CA18F7">
        <w:t>fixed-wing aircraft, trading precision for the ability to survey sites which are otherwise very difficult to access (Walker 2015</w:t>
      </w:r>
      <w:r w:rsidR="00523A07">
        <w:t>, Copeland et al. 2019</w:t>
      </w:r>
      <w:r w:rsidR="00CA18F7">
        <w:t xml:space="preserve">). </w:t>
      </w:r>
      <w:r>
        <w:t>Finally, these methods and more may be included in the estimation of total escapement through a variety of area-</w:t>
      </w:r>
      <w:r>
        <w:lastRenderedPageBreak/>
        <w:t xml:space="preserve">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28F0D574" w14:textId="5E4808B6" w:rsidR="00770080" w:rsidRDefault="00770080" w:rsidP="00770080">
      <w:pPr>
        <w:spacing w:after="0" w:line="480" w:lineRule="auto"/>
        <w:ind w:firstLine="720"/>
      </w:pPr>
      <w:commentRangeStart w:id="1"/>
      <w:r>
        <w:t xml:space="preserve">My research seeks to measure the levels of precision and relative bias accompanying various survey methods by comparing observations from </w:t>
      </w:r>
      <w:r w:rsidR="00672622">
        <w:t>73</w:t>
      </w:r>
      <w:r>
        <w:t xml:space="preserve"> populations of Chinook </w:t>
      </w:r>
      <w:r w:rsidRPr="005915DE">
        <w:rPr>
          <w:rFonts w:cstheme="minorHAnsi"/>
          <w:color w:val="202122"/>
          <w:shd w:val="clear" w:color="auto" w:fill="FFFFFF"/>
        </w:rPr>
        <w:t>(</w:t>
      </w:r>
      <w:r w:rsidRPr="005915DE">
        <w:rPr>
          <w:i/>
          <w:iCs/>
        </w:rPr>
        <w:t>O.</w:t>
      </w:r>
      <w:r w:rsidRPr="005915DE">
        <w:rPr>
          <w:rFonts w:cstheme="minorHAnsi"/>
          <w:i/>
          <w:iCs/>
          <w:color w:val="202122"/>
          <w:shd w:val="clear" w:color="auto" w:fill="FFFFFF"/>
        </w:rPr>
        <w:t xml:space="preserve"> tshawytscha</w:t>
      </w:r>
      <w:r w:rsidRPr="005915DE">
        <w:rPr>
          <w:rFonts w:cstheme="minorHAnsi"/>
          <w:color w:val="202122"/>
          <w:shd w:val="clear" w:color="auto" w:fill="FFFFFF"/>
        </w:rPr>
        <w:t xml:space="preserve">) </w:t>
      </w:r>
      <w:r>
        <w:t xml:space="preserve">and coho salmon </w:t>
      </w:r>
      <w:r w:rsidRPr="005915DE">
        <w:rPr>
          <w:rFonts w:cstheme="minorHAnsi"/>
          <w:color w:val="202122"/>
          <w:shd w:val="clear" w:color="auto" w:fill="FFFFFF"/>
        </w:rPr>
        <w:t>(</w:t>
      </w:r>
      <w:r w:rsidRPr="005915DE">
        <w:rPr>
          <w:rFonts w:cstheme="minorHAnsi"/>
          <w:i/>
          <w:iCs/>
          <w:color w:val="202122"/>
          <w:shd w:val="clear" w:color="auto" w:fill="FFFFFF"/>
        </w:rPr>
        <w:t>O. kisutch</w:t>
      </w:r>
      <w:r w:rsidRPr="005915DE">
        <w:rPr>
          <w:rFonts w:cstheme="minorHAnsi"/>
          <w:color w:val="202122"/>
          <w:shd w:val="clear" w:color="auto" w:fill="FFFFFF"/>
        </w:rPr>
        <w:t>)</w:t>
      </w:r>
      <w:r>
        <w:t xml:space="preserve"> and steelhead trout throughout Oregon</w:t>
      </w:r>
      <w:r w:rsidR="002F5D1A">
        <w:t>, each belonging to an ESU listed as threatened under the Endangered Species Act</w:t>
      </w:r>
      <w:r>
        <w:t xml:space="preserve">. These surveys were conducted by biologists from the Oregon Department of Fish and Wildlife (ODFW) from 1980 to </w:t>
      </w:r>
      <w:commentRangeStart w:id="2"/>
      <w:r>
        <w:t>2022</w:t>
      </w:r>
      <w:commentRangeEnd w:id="2"/>
      <w:r w:rsidR="008D306D">
        <w:rPr>
          <w:rStyle w:val="CommentReference"/>
          <w:sz w:val="24"/>
          <w:szCs w:val="24"/>
        </w:rPr>
        <w:commentReference w:id="2"/>
      </w:r>
      <w:r>
        <w:t>, using 31 distinct survey methods. The precision inherent to a survey method (and the associated variance of estimates derived from these surveys) directly impacts the ability to detect changes throughout time, as large confidence intervals may obscure shifting abundance regimes (Vallecillo et al. 2021). This work will also seek to determine whether directional bias exists in some survey methods, although bias estimates will necessarily be defined relative to other survey methods, as “true” censuses of the underlying salmonid populations do not exist</w:t>
      </w:r>
      <w:commentRangeEnd w:id="1"/>
      <w:r w:rsidR="008D306D">
        <w:rPr>
          <w:rStyle w:val="CommentReference"/>
          <w:sz w:val="24"/>
          <w:szCs w:val="24"/>
        </w:rPr>
        <w:commentReference w:id="1"/>
      </w:r>
      <w:r w:rsidR="002F5D1A">
        <w:t xml:space="preserve">. A secondary objective of this research is to identify </w:t>
      </w:r>
      <w:r w:rsidR="0027692A">
        <w:t xml:space="preserve">which and to what extent </w:t>
      </w:r>
      <w:r w:rsidR="002F5D1A">
        <w:t xml:space="preserve">populations </w:t>
      </w:r>
      <w:r w:rsidR="0027692A">
        <w:t xml:space="preserve">in the study area have been chronically under- or over-estimated due to the survey methods employed in monitoring them, </w:t>
      </w:r>
      <w:commentRangeStart w:id="3"/>
      <w:r w:rsidR="0027692A">
        <w:t xml:space="preserve">and whether some common characteristics of these populations can be associated with the survey methods chosen. </w:t>
      </w:r>
      <w:commentRangeEnd w:id="3"/>
      <w:r w:rsidR="008D306D">
        <w:rPr>
          <w:rStyle w:val="CommentReference"/>
          <w:sz w:val="24"/>
          <w:szCs w:val="24"/>
        </w:rPr>
        <w:commentReference w:id="3"/>
      </w:r>
    </w:p>
    <w:p w14:paraId="700FB755" w14:textId="77777777" w:rsidR="00845D21" w:rsidRDefault="00845D21" w:rsidP="002F397B">
      <w:pPr>
        <w:pStyle w:val="ListParagraph"/>
        <w:spacing w:after="0" w:line="480" w:lineRule="auto"/>
        <w:ind w:left="360"/>
      </w:pPr>
    </w:p>
    <w:p w14:paraId="59812B05" w14:textId="77777777" w:rsidR="006B09CA" w:rsidRDefault="006B09CA">
      <w:pPr>
        <w:rPr>
          <w:b/>
          <w:bCs/>
          <w:u w:val="single"/>
        </w:rPr>
      </w:pPr>
      <w:r>
        <w:rPr>
          <w:b/>
          <w:bCs/>
          <w:u w:val="single"/>
        </w:rPr>
        <w:br w:type="page"/>
      </w:r>
    </w:p>
    <w:p w14:paraId="12934565" w14:textId="2AB0BE4C" w:rsidR="005915DE" w:rsidRPr="005915DE" w:rsidRDefault="005915DE" w:rsidP="002F397B">
      <w:pPr>
        <w:spacing w:after="0" w:line="480" w:lineRule="auto"/>
        <w:rPr>
          <w:b/>
          <w:bCs/>
          <w:u w:val="single"/>
        </w:rPr>
      </w:pPr>
      <w:r w:rsidRPr="005915DE">
        <w:rPr>
          <w:b/>
          <w:bCs/>
          <w:u w:val="single"/>
        </w:rPr>
        <w:lastRenderedPageBreak/>
        <w:t>Methods</w:t>
      </w:r>
    </w:p>
    <w:p w14:paraId="57FDB603" w14:textId="417B2A03" w:rsidR="00845D21" w:rsidRPr="005915DE" w:rsidRDefault="005915DE" w:rsidP="002F397B">
      <w:pPr>
        <w:spacing w:after="0" w:line="480" w:lineRule="auto"/>
        <w:rPr>
          <w:b/>
          <w:bCs/>
        </w:rPr>
      </w:pPr>
      <w:r w:rsidRPr="005915DE">
        <w:rPr>
          <w:b/>
          <w:bCs/>
        </w:rPr>
        <w:t>Data</w:t>
      </w:r>
    </w:p>
    <w:p w14:paraId="024FBC32" w14:textId="26855026" w:rsidR="008C62FC" w:rsidRDefault="00845D21" w:rsidP="00AB7BC7">
      <w:pPr>
        <w:spacing w:after="0" w:line="480" w:lineRule="auto"/>
      </w:pPr>
      <w:r>
        <w:t xml:space="preserve">Data include annual observations of natural-origin </w:t>
      </w:r>
      <w:r w:rsidR="006108AA">
        <w:t xml:space="preserve">spawner </w:t>
      </w:r>
      <w:r>
        <w:t xml:space="preserve">abundance </w:t>
      </w:r>
      <w:r w:rsidR="0056462E">
        <w:t>(</w:t>
      </w:r>
      <w:r>
        <w:t>NOSA</w:t>
      </w:r>
      <w:r w:rsidR="0056462E">
        <w:t>)</w:t>
      </w:r>
      <w:r>
        <w:t xml:space="preserve"> covering </w:t>
      </w:r>
      <w:r w:rsidR="00672622">
        <w:t>7</w:t>
      </w:r>
      <w:r w:rsidR="00247A6B">
        <w:t>4</w:t>
      </w:r>
      <w:r>
        <w:t xml:space="preserve"> populations of Chinook and coho salmon and steelhead trout throughout</w:t>
      </w:r>
      <w:r w:rsidR="00F74EA0">
        <w:t xml:space="preserve"> </w:t>
      </w:r>
      <w:r>
        <w:t>Oregon from 1980 to 202</w:t>
      </w:r>
      <w:r w:rsidR="00626BFF">
        <w:t>4</w:t>
      </w:r>
      <w:r>
        <w:t xml:space="preserve">. Crucially, each observation also includes the method by which the abundance survey was conducted. Data have been collected through 31 unique survey methods (fully enumerated in the attached appendix) </w:t>
      </w:r>
      <w:r w:rsidR="00D746E9">
        <w:t xml:space="preserve">and </w:t>
      </w:r>
      <w:r>
        <w:t xml:space="preserve">contain </w:t>
      </w:r>
      <w:r w:rsidR="00D746E9">
        <w:t>2,396</w:t>
      </w:r>
      <w:r>
        <w:t xml:space="preserve"> individual </w:t>
      </w:r>
      <w:r w:rsidR="00F92390">
        <w:t>o</w:t>
      </w:r>
      <w:r>
        <w:t>bservations</w:t>
      </w:r>
      <w:r w:rsidR="00D746E9">
        <w:t xml:space="preserve"> with recorded NOSA values. </w:t>
      </w:r>
      <w:r>
        <w:t xml:space="preserve">848 </w:t>
      </w:r>
      <w:r w:rsidR="00D746E9">
        <w:t xml:space="preserve">observations </w:t>
      </w:r>
      <w:r>
        <w:t xml:space="preserve">missing NOSA values </w:t>
      </w:r>
      <w:r w:rsidR="00D746E9">
        <w:t xml:space="preserve">almost entirely related to years in which no survey was conducted are dropped </w:t>
      </w:r>
      <w:r>
        <w:t xml:space="preserve">(15 </w:t>
      </w:r>
      <w:r w:rsidR="00D746E9">
        <w:t xml:space="preserve">of these dropped </w:t>
      </w:r>
      <w:r>
        <w:t xml:space="preserve">observations confoundingly include a survey method along with a null value). </w:t>
      </w:r>
    </w:p>
    <w:p w14:paraId="5265228B" w14:textId="077627EB" w:rsidR="00AB7BC7" w:rsidRDefault="00343103" w:rsidP="008C62FC">
      <w:pPr>
        <w:spacing w:after="0" w:line="480" w:lineRule="auto"/>
        <w:ind w:firstLine="720"/>
      </w:pPr>
      <w:r>
        <w:t>While</w:t>
      </w:r>
      <w:r w:rsidR="009F331E">
        <w:t xml:space="preserve"> trends are difficult to observe visually</w:t>
      </w:r>
      <w:r w:rsidR="0056462E">
        <w:t xml:space="preserve"> (</w:t>
      </w:r>
      <w:r>
        <w:t>Figure 1</w:t>
      </w:r>
      <w:r w:rsidR="0056462E">
        <w:t>)</w:t>
      </w:r>
      <w:r>
        <w:t xml:space="preserve">, </w:t>
      </w:r>
      <w:r w:rsidR="009F331E">
        <w:t>simple linear regressions evaluating the effect of time on the natural log of abundance des</w:t>
      </w:r>
      <w:commentRangeStart w:id="4"/>
      <w:r w:rsidR="009F331E">
        <w:t>cribe</w:t>
      </w:r>
      <w:r>
        <w:t xml:space="preserve"> 34 (half) of the surveyed salmonid populations as having no statistically significant change across the study period. Of the remaining 34 populations, 23 exhibit a statistically significant increase in abundance, while the other 11 show evidence of decline.</w:t>
      </w:r>
      <w:commentRangeEnd w:id="4"/>
      <w:r w:rsidR="008D306D">
        <w:rPr>
          <w:rStyle w:val="CommentReference"/>
          <w:sz w:val="24"/>
          <w:szCs w:val="24"/>
        </w:rPr>
        <w:commentReference w:id="4"/>
      </w:r>
      <w:r w:rsidR="008C62FC">
        <w:t xml:space="preserve"> Across the landscape it can be seen that shifts in average populations sizes between the first and last decades recorded in the study period</w:t>
      </w:r>
      <w:r w:rsidR="00B57F96">
        <w:t xml:space="preserve"> are not necessarily typically spatially correlated (coho on the northern Oregon coast being a notable exception), and that the majority of populations have increased or decreased by less than 50% in this timeframe (Figure 2). </w:t>
      </w:r>
    </w:p>
    <w:p w14:paraId="3C24DE95" w14:textId="46B7544C" w:rsidR="00845D21" w:rsidRDefault="00AB7BC7" w:rsidP="00AB7BC7">
      <w:pPr>
        <w:spacing w:after="0" w:line="480" w:lineRule="auto"/>
        <w:ind w:firstLine="720"/>
      </w:pPr>
      <w:r>
        <w:t xml:space="preserve">Of course, the </w:t>
      </w:r>
      <w:r w:rsidR="00343103">
        <w:t xml:space="preserve">accuracy of </w:t>
      </w:r>
      <w:r w:rsidR="00BD0730">
        <w:t xml:space="preserve">the </w:t>
      </w:r>
      <w:r w:rsidR="00343103">
        <w:t>estimate</w:t>
      </w:r>
      <w:r w:rsidR="00BD0730">
        <w:t>d</w:t>
      </w:r>
      <w:r w:rsidR="00343103">
        <w:t xml:space="preserve"> trends </w:t>
      </w:r>
      <w:r w:rsidR="00BD0730">
        <w:t xml:space="preserve">described above </w:t>
      </w:r>
      <w:r w:rsidR="00343103">
        <w:t xml:space="preserve">are dependent on the </w:t>
      </w:r>
      <w:r>
        <w:t>accuracy</w:t>
      </w:r>
      <w:r w:rsidR="00343103">
        <w:t xml:space="preserve"> of the observed data</w:t>
      </w:r>
      <w:r>
        <w:t>, itself a product of the survey methods employed</w:t>
      </w:r>
      <w:r w:rsidR="00343103">
        <w:t xml:space="preserve">. </w:t>
      </w:r>
      <w:r w:rsidR="00845D21">
        <w:t>The frequency with which survey methods are employed is not uniform across the study period</w:t>
      </w:r>
      <w:r>
        <w:t xml:space="preserve"> (</w:t>
      </w:r>
      <w:r w:rsidR="00343103">
        <w:t xml:space="preserve">Figure </w:t>
      </w:r>
      <w:r w:rsidR="00763BB2">
        <w:t>3</w:t>
      </w:r>
      <w:r>
        <w:t>)</w:t>
      </w:r>
      <w:r w:rsidR="00845D21">
        <w:t xml:space="preserve">. </w:t>
      </w:r>
      <w:r w:rsidR="00845D21">
        <w:lastRenderedPageBreak/>
        <w:t>While some methods such as redd counts have been widely used throughout the study period, other methods have seen drastic changes in usage.</w:t>
      </w:r>
      <w:r w:rsidR="00343103">
        <w:t xml:space="preserve"> If </w:t>
      </w:r>
      <w:r w:rsidR="00A156CB">
        <w:t>different survey methods indeed exhibit varying</w:t>
      </w:r>
      <w:r w:rsidR="00B132D9">
        <w:t xml:space="preserve"> </w:t>
      </w:r>
      <w:r w:rsidR="00A156CB">
        <w:t>levels of precision and/or inherent directional bias, the statistical significance estimated by simple regression models must be questioned.</w:t>
      </w:r>
      <w:r w:rsidR="009E609B">
        <w:t xml:space="preserve"> </w:t>
      </w:r>
      <w:r w:rsidR="005915DE">
        <w:rPr>
          <w:noProof/>
        </w:rPr>
        <w:drawing>
          <wp:anchor distT="0" distB="0" distL="114300" distR="114300" simplePos="0" relativeHeight="251668480" behindDoc="0" locked="1" layoutInCell="1" allowOverlap="1" wp14:anchorId="34C62E1A" wp14:editId="787F2FF7">
            <wp:simplePos x="0" y="0"/>
            <wp:positionH relativeFrom="margin">
              <wp:align>left</wp:align>
            </wp:positionH>
            <wp:positionV relativeFrom="paragraph">
              <wp:posOffset>1129665</wp:posOffset>
            </wp:positionV>
            <wp:extent cx="5645785" cy="5543550"/>
            <wp:effectExtent l="0" t="0" r="0" b="0"/>
            <wp:wrapSquare wrapText="bothSides"/>
            <wp:docPr id="116816089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0897" name="Picture 1" descr="A graph of different colored lines&#10;&#10;AI-generated content may be incorrect."/>
                    <pic:cNvPicPr/>
                  </pic:nvPicPr>
                  <pic:blipFill rotWithShape="1">
                    <a:blip r:embed="rId10">
                      <a:extLst>
                        <a:ext uri="{28A0092B-C50C-407E-A947-70E740481C1C}">
                          <a14:useLocalDpi xmlns:a14="http://schemas.microsoft.com/office/drawing/2010/main" val="0"/>
                        </a:ext>
                      </a:extLst>
                    </a:blip>
                    <a:srcRect b="6995"/>
                    <a:stretch/>
                  </pic:blipFill>
                  <pic:spPr bwMode="auto">
                    <a:xfrm>
                      <a:off x="0" y="0"/>
                      <a:ext cx="5645785" cy="554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A3A40" w14:textId="680B2B54" w:rsidR="005915DE" w:rsidRPr="005915DE" w:rsidRDefault="005915DE" w:rsidP="002F397B">
      <w:pPr>
        <w:spacing w:after="0" w:line="240" w:lineRule="auto"/>
        <w:rPr>
          <w:i/>
          <w:iCs/>
          <w:sz w:val="20"/>
          <w:szCs w:val="20"/>
        </w:rPr>
      </w:pPr>
      <w:r w:rsidRPr="005915DE">
        <w:rPr>
          <w:i/>
          <w:iCs/>
          <w:sz w:val="20"/>
          <w:szCs w:val="20"/>
        </w:rPr>
        <w:t>Figure 1: Changes in abundance of individual salmonid populations from 1980 to 2022. Note that not all populations are represented throughout the entirety of the study period.</w:t>
      </w:r>
    </w:p>
    <w:p w14:paraId="0EE2CDF3" w14:textId="77777777" w:rsidR="005915DE" w:rsidRDefault="005915DE" w:rsidP="002F397B">
      <w:pPr>
        <w:spacing w:after="0" w:line="480" w:lineRule="auto"/>
      </w:pPr>
    </w:p>
    <w:p w14:paraId="4E28BF78" w14:textId="77777777" w:rsidR="008D306D" w:rsidRDefault="008D306D" w:rsidP="008D306D">
      <w:pPr>
        <w:spacing w:after="0" w:line="480" w:lineRule="auto"/>
        <w:sectPr w:rsidR="008D306D" w:rsidSect="00E75CC5">
          <w:pgSz w:w="12240" w:h="15840"/>
          <w:pgMar w:top="1440" w:right="1440" w:bottom="1440" w:left="1440" w:header="720" w:footer="720" w:gutter="0"/>
          <w:lnNumType w:countBy="1" w:restart="continuous"/>
          <w:cols w:space="720"/>
          <w:docGrid w:linePitch="360"/>
        </w:sectPr>
      </w:pPr>
    </w:p>
    <w:p w14:paraId="6AB30FFF" w14:textId="1FD70C51" w:rsidR="008D306D" w:rsidRDefault="008D306D" w:rsidP="008D306D">
      <w:pPr>
        <w:spacing w:after="0" w:line="480" w:lineRule="auto"/>
      </w:pPr>
      <w:r>
        <w:rPr>
          <w:noProof/>
        </w:rPr>
        <w:lastRenderedPageBreak/>
        <w:drawing>
          <wp:inline distT="0" distB="0" distL="0" distR="0" wp14:anchorId="180033F4" wp14:editId="39085B9C">
            <wp:extent cx="8678393" cy="4597879"/>
            <wp:effectExtent l="0" t="0" r="8890" b="0"/>
            <wp:docPr id="5626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003" name=""/>
                    <pic:cNvPicPr/>
                  </pic:nvPicPr>
                  <pic:blipFill>
                    <a:blip r:embed="rId11"/>
                    <a:stretch>
                      <a:fillRect/>
                    </a:stretch>
                  </pic:blipFill>
                  <pic:spPr>
                    <a:xfrm>
                      <a:off x="0" y="0"/>
                      <a:ext cx="8713358" cy="4616404"/>
                    </a:xfrm>
                    <a:prstGeom prst="rect">
                      <a:avLst/>
                    </a:prstGeom>
                  </pic:spPr>
                </pic:pic>
              </a:graphicData>
            </a:graphic>
          </wp:inline>
        </w:drawing>
      </w:r>
    </w:p>
    <w:p w14:paraId="0C46495F" w14:textId="29E459CE" w:rsidR="008D306D" w:rsidRPr="000969EE" w:rsidRDefault="008D306D" w:rsidP="000969EE">
      <w:pPr>
        <w:spacing w:after="0" w:line="240" w:lineRule="auto"/>
        <w:rPr>
          <w:i/>
          <w:iCs/>
          <w:sz w:val="20"/>
          <w:szCs w:val="20"/>
        </w:rPr>
        <w:sectPr w:rsidR="008D306D" w:rsidRPr="000969EE" w:rsidSect="008D306D">
          <w:pgSz w:w="15840" w:h="12240" w:orient="landscape"/>
          <w:pgMar w:top="1440" w:right="1440" w:bottom="1440" w:left="1440" w:header="720" w:footer="720" w:gutter="0"/>
          <w:lnNumType w:countBy="1" w:restart="continuous"/>
          <w:cols w:space="720"/>
          <w:docGrid w:linePitch="360"/>
        </w:sectPr>
      </w:pPr>
      <w:r w:rsidRPr="005915DE">
        <w:rPr>
          <w:i/>
          <w:iCs/>
          <w:sz w:val="20"/>
          <w:szCs w:val="20"/>
        </w:rPr>
        <w:t xml:space="preserve">Figure 2: </w:t>
      </w:r>
      <w:r w:rsidR="000969EE">
        <w:rPr>
          <w:i/>
          <w:iCs/>
          <w:sz w:val="20"/>
          <w:szCs w:val="20"/>
        </w:rPr>
        <w:t xml:space="preserve">Percent change in average population size between the periods 1980-1989 and 2015-2024.Population outlines in white with ESU borders in black. Majority of populations do not increase by more or less than 50% over the course of the study period. </w:t>
      </w:r>
    </w:p>
    <w:p w14:paraId="384B1A90" w14:textId="77777777" w:rsidR="00B57F96" w:rsidRDefault="00B57F96" w:rsidP="00B57F96">
      <w:pPr>
        <w:spacing w:after="0" w:line="480" w:lineRule="auto"/>
        <w:ind w:firstLine="720"/>
      </w:pPr>
      <w:r>
        <w:lastRenderedPageBreak/>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1E640A95" w14:textId="16187997" w:rsidR="00845D21" w:rsidRDefault="00845D21" w:rsidP="008D306D">
      <w:pPr>
        <w:spacing w:after="0" w:line="480" w:lineRule="auto"/>
      </w:pPr>
      <w:r>
        <w:t>suited for this purpose, as they can mathematically distinguish observation error from process/state error and assign separate variance parameters to each</w:t>
      </w:r>
      <w:r w:rsidR="002219EA">
        <w:t>.</w:t>
      </w:r>
      <w:r w:rsidR="003E6621">
        <w:t xml:space="preserve"> </w:t>
      </w:r>
      <w:r w:rsidR="002219EA">
        <w:t xml:space="preserve">Recall that </w:t>
      </w:r>
      <w:r w:rsidR="003E6621">
        <w:t>t</w:t>
      </w:r>
      <w:r>
        <w:t xml:space="preserve">he generic MARSS model formulation </w:t>
      </w:r>
      <w:r w:rsidR="002219EA">
        <w:t xml:space="preserve">and a description of all model terms </w:t>
      </w:r>
      <w:r w:rsidR="003E6621">
        <w:t xml:space="preserve">is described </w:t>
      </w:r>
      <w:commentRangeStart w:id="5"/>
      <w:commentRangeStart w:id="6"/>
      <w:r w:rsidR="003E6621">
        <w:t xml:space="preserve">in </w:t>
      </w:r>
      <w:r w:rsidR="00090F73">
        <w:t>C</w:t>
      </w:r>
      <w:r>
        <w:t>hapter 1</w:t>
      </w:r>
      <w:r w:rsidR="003E6621">
        <w:t xml:space="preserve"> of this </w:t>
      </w:r>
      <w:r w:rsidR="00090F73">
        <w:t>dissertation</w:t>
      </w:r>
      <w:commentRangeEnd w:id="5"/>
      <w:r w:rsidR="008D306D">
        <w:rPr>
          <w:rStyle w:val="CommentReference"/>
          <w:sz w:val="24"/>
          <w:szCs w:val="24"/>
        </w:rPr>
        <w:commentReference w:id="5"/>
      </w:r>
      <w:commentRangeEnd w:id="6"/>
      <w:r w:rsidR="00BD0730">
        <w:rPr>
          <w:rStyle w:val="CommentReference"/>
          <w:sz w:val="24"/>
          <w:szCs w:val="24"/>
        </w:rPr>
        <w:commentReference w:id="6"/>
      </w:r>
      <w:r w:rsidR="002219EA">
        <w:t>.</w:t>
      </w:r>
    </w:p>
    <w:p w14:paraId="02C058C2" w14:textId="13061360" w:rsidR="00890187" w:rsidRDefault="00890187" w:rsidP="002F397B">
      <w:pPr>
        <w:pStyle w:val="ListParagraph"/>
        <w:spacing w:after="0" w:line="480" w:lineRule="auto"/>
        <w:ind w:left="360"/>
      </w:pPr>
      <w:r>
        <w:rPr>
          <w:noProof/>
        </w:rPr>
        <w:drawing>
          <wp:anchor distT="0" distB="0" distL="114300" distR="114300" simplePos="0" relativeHeight="251666432" behindDoc="0" locked="1" layoutInCell="1" allowOverlap="1" wp14:anchorId="67602FAE" wp14:editId="70121926">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12">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4A8557" w14:textId="77777777" w:rsidR="00890187" w:rsidRDefault="00890187" w:rsidP="002F397B">
      <w:pPr>
        <w:pStyle w:val="ListParagraph"/>
        <w:spacing w:after="0" w:line="480" w:lineRule="auto"/>
        <w:ind w:left="360"/>
        <w:rPr>
          <w:i/>
          <w:iCs/>
          <w:sz w:val="20"/>
          <w:szCs w:val="20"/>
        </w:rPr>
      </w:pPr>
    </w:p>
    <w:p w14:paraId="0DEA4216" w14:textId="1B5268F7" w:rsidR="00890187" w:rsidRPr="005915DE" w:rsidRDefault="00890187" w:rsidP="002F397B">
      <w:pPr>
        <w:spacing w:after="0" w:line="240" w:lineRule="auto"/>
        <w:rPr>
          <w:i/>
          <w:iCs/>
          <w:sz w:val="20"/>
          <w:szCs w:val="20"/>
        </w:rPr>
      </w:pPr>
      <w:r w:rsidRPr="005915DE">
        <w:rPr>
          <w:i/>
          <w:iCs/>
          <w:sz w:val="20"/>
          <w:szCs w:val="20"/>
        </w:rPr>
        <w:t xml:space="preserve">Figure </w:t>
      </w:r>
      <w:r w:rsidR="008D306D">
        <w:rPr>
          <w:i/>
          <w:iCs/>
          <w:sz w:val="20"/>
          <w:szCs w:val="20"/>
        </w:rPr>
        <w:t>3</w:t>
      </w:r>
      <w:r w:rsidRPr="005915DE">
        <w:rPr>
          <w:i/>
          <w:iCs/>
          <w:sz w:val="20"/>
          <w:szCs w:val="20"/>
        </w:rPr>
        <w:t>: Groups of survey methods and the frequency of their employment from 1980 to 2022. The nine groups displayed in the figure are bins containing each of the 31 survey methods described in the data.</w:t>
      </w:r>
      <w:r w:rsidR="00090F73">
        <w:rPr>
          <w:i/>
          <w:iCs/>
          <w:sz w:val="20"/>
          <w:szCs w:val="20"/>
        </w:rPr>
        <w:t xml:space="preserve"> These bins are non-scientific and do not reflect designations established by ODFW or any other party, and are instead intended strictly as an aid for visualizing these data. </w:t>
      </w:r>
    </w:p>
    <w:p w14:paraId="5D3F8126" w14:textId="77777777" w:rsidR="00890187" w:rsidRDefault="00890187" w:rsidP="002F397B">
      <w:pPr>
        <w:pStyle w:val="ListParagraph"/>
        <w:spacing w:after="0" w:line="480" w:lineRule="auto"/>
        <w:ind w:left="360"/>
      </w:pPr>
    </w:p>
    <w:p w14:paraId="20429CB3" w14:textId="34956122" w:rsidR="007E38E9" w:rsidRDefault="0043005F" w:rsidP="002F397B">
      <w:pPr>
        <w:spacing w:after="0" w:line="480" w:lineRule="auto"/>
        <w:ind w:firstLine="720"/>
      </w:pPr>
      <w:commentRangeStart w:id="7"/>
      <w:commentRangeStart w:id="8"/>
      <w:r>
        <w:lastRenderedPageBreak/>
        <w:t>There exists the likelihood that some survey methods are endogenously related to the abundances they seek to estimate. For example, dam counts require that a dam be present</w:t>
      </w:r>
      <w:r w:rsidR="007116CE">
        <w:t>, a feature which has been shown to have adverse impacts on salmonid populations (CITATION)</w:t>
      </w:r>
      <w:r w:rsidR="00543C6C">
        <w:t>.</w:t>
      </w:r>
      <w:r>
        <w:t xml:space="preserve"> In theory</w:t>
      </w:r>
      <w:r w:rsidR="007116CE">
        <w:t xml:space="preserve">, </w:t>
      </w:r>
      <w:r>
        <w:t>MARSS models should be able to statistically account for this potential endogeneity by mathematically partitioning the variance and bias originating due to the survey method (i.e., the accuracy of dam counts) from the variance and bias inherent in the underlying process being observed (i.e., natural fluctuations in a population’s abundance)</w:t>
      </w:r>
      <w:r w:rsidR="00294A2D">
        <w:t>, especially given multiple populations being surveyed via the same method</w:t>
      </w:r>
      <w:r w:rsidR="007116CE">
        <w:t xml:space="preserve"> (See and Holmes 2015</w:t>
      </w:r>
      <w:r w:rsidR="004E682F">
        <w:t>, MAYBE ONE MORE CITATION HERE</w:t>
      </w:r>
      <w:r w:rsidR="007116CE">
        <w:t>)</w:t>
      </w:r>
      <w:r>
        <w:t xml:space="preserve">. </w:t>
      </w:r>
      <w:r w:rsidR="0067376D">
        <w:t>T</w:t>
      </w:r>
      <w:r w:rsidR="004E682F">
        <w:t>o ensure that potential endogenous relationships between populations and methods will not impact the results of this work, I conduct r</w:t>
      </w:r>
      <w:r w:rsidR="00890187">
        <w:t xml:space="preserve">obustness checks </w:t>
      </w:r>
      <w:r w:rsidR="004657A3">
        <w:t>using</w:t>
      </w:r>
      <w:r w:rsidR="000B7057">
        <w:t xml:space="preserve"> </w:t>
      </w:r>
      <w:r w:rsidR="004657A3">
        <w:t>simulated data</w:t>
      </w:r>
      <w:r w:rsidR="00890187">
        <w:t xml:space="preserve"> to ensure that the models employed are indeed able to capably distinguish process error from observation error in </w:t>
      </w:r>
      <w:r w:rsidR="004E682F">
        <w:t>such cases</w:t>
      </w:r>
      <w:r w:rsidR="00890187">
        <w:t>.</w:t>
      </w:r>
      <w:commentRangeEnd w:id="7"/>
      <w:r w:rsidR="008D306D">
        <w:rPr>
          <w:rStyle w:val="CommentReference"/>
          <w:sz w:val="24"/>
          <w:szCs w:val="24"/>
        </w:rPr>
        <w:commentReference w:id="7"/>
      </w:r>
      <w:commentRangeEnd w:id="8"/>
      <w:r w:rsidR="007116CE">
        <w:rPr>
          <w:rStyle w:val="CommentReference"/>
          <w:sz w:val="24"/>
          <w:szCs w:val="24"/>
        </w:rPr>
        <w:commentReference w:id="8"/>
      </w:r>
    </w:p>
    <w:p w14:paraId="55702609" w14:textId="77777777" w:rsidR="00EE07EC" w:rsidRDefault="00973BDF" w:rsidP="002F397B">
      <w:pPr>
        <w:spacing w:after="0" w:line="480" w:lineRule="auto"/>
        <w:ind w:firstLine="720"/>
      </w:pPr>
      <w:r>
        <w:t>Because of their differing life histories, I will model</w:t>
      </w:r>
      <w:r w:rsidR="00D12E95">
        <w:t xml:space="preserve"> all three species </w:t>
      </w:r>
      <w:r>
        <w:t>sal</w:t>
      </w:r>
      <w:r w:rsidR="00D12E95">
        <w:t>monid species separately</w:t>
      </w:r>
      <w:r>
        <w:t>, using</w:t>
      </w:r>
      <w:r w:rsidR="00A156CB">
        <w:t xml:space="preserve"> three data subsets respectively</w:t>
      </w:r>
      <w:r w:rsidR="00D12E95">
        <w:t xml:space="preserve"> </w:t>
      </w:r>
      <w:r w:rsidR="00A156CB">
        <w:t>containing</w:t>
      </w:r>
      <w:r>
        <w:t xml:space="preserve"> 22</w:t>
      </w:r>
      <w:r w:rsidR="00A156CB">
        <w:t xml:space="preserve"> Chinook populations, 2</w:t>
      </w:r>
      <w:r>
        <w:t>9</w:t>
      </w:r>
      <w:r w:rsidR="00A156CB">
        <w:t xml:space="preserve"> coho populations, and 23 steelhead populations. </w:t>
      </w:r>
      <w:r w:rsidR="0070271B">
        <w:t>E</w:t>
      </w:r>
      <w:r w:rsidR="00A156CB">
        <w:t xml:space="preserve">ach observation contains four crucial pieces of information: 1) an estimate of natural-origin spawner abundance (denoted mathematically from here on as </w:t>
      </w:r>
      <w:r w:rsidR="00A156CB" w:rsidRPr="005915DE">
        <w:rPr>
          <w:i/>
          <w:iCs/>
        </w:rPr>
        <w:t>y</w:t>
      </w:r>
      <w:r w:rsidR="00A156CB">
        <w:t xml:space="preserve">), 2) the population of interest (denoted with the subscript </w:t>
      </w:r>
      <w:r w:rsidR="00A156CB" w:rsidRPr="005915DE">
        <w:rPr>
          <w:i/>
          <w:iCs/>
        </w:rPr>
        <w:t>p</w:t>
      </w:r>
      <w:r w:rsidR="00A156CB">
        <w:t xml:space="preserve">), 3) the survey method used (denoted with the subscript </w:t>
      </w:r>
      <w:r w:rsidR="00A156CB" w:rsidRPr="005915DE">
        <w:rPr>
          <w:i/>
          <w:iCs/>
        </w:rPr>
        <w:t>s</w:t>
      </w:r>
      <w:r w:rsidR="00A156CB">
        <w:t xml:space="preserve">), and 4) the year of observation (denoted with the subscript </w:t>
      </w:r>
      <w:r w:rsidR="00A156CB" w:rsidRPr="005915DE">
        <w:rPr>
          <w:i/>
          <w:iCs/>
        </w:rPr>
        <w:t>t</w:t>
      </w:r>
      <w:r w:rsidR="00A156CB">
        <w:t>).</w:t>
      </w:r>
      <w:r w:rsidR="0070271B">
        <w:t xml:space="preserve"> </w:t>
      </w:r>
    </w:p>
    <w:p w14:paraId="164C4C64" w14:textId="5468D996" w:rsidR="00845D21" w:rsidRDefault="00845D21" w:rsidP="002F397B">
      <w:pPr>
        <w:spacing w:after="0" w:line="480" w:lineRule="auto"/>
        <w:ind w:firstLine="720"/>
      </w:pPr>
      <w:r>
        <w:t xml:space="preserve">Applying </w:t>
      </w:r>
      <w:r w:rsidR="0070271B">
        <w:t>a</w:t>
      </w:r>
      <w:r>
        <w:t xml:space="preserve"> MARSS model structure to the analysis described above involves determining how best to structure spawner abundance data (</w:t>
      </w:r>
      <w:r w:rsidRPr="005915DE">
        <w:rPr>
          <w:i/>
          <w:iCs/>
        </w:rPr>
        <w:t>y</w:t>
      </w:r>
      <w:r w:rsidRPr="005915DE">
        <w:rPr>
          <w:i/>
          <w:iCs/>
          <w:vertAlign w:val="subscript"/>
        </w:rPr>
        <w:t>p,s,t</w:t>
      </w:r>
      <w:r>
        <w:t xml:space="preserve">) and specify model parameters to isolate precision and bias in salmonid survey methods. Particular attention is paid to the inputs and </w:t>
      </w:r>
      <w:r>
        <w:lastRenderedPageBreak/>
        <w:t xml:space="preserve">parameterization of the observation equation. </w:t>
      </w:r>
      <w:r w:rsidR="00827720" w:rsidRPr="005915DE">
        <w:rPr>
          <w:rFonts w:ascii="MathJax_Math-italic" w:eastAsia="Times New Roman" w:hAnsi="MathJax_Math-italic" w:cs="Times New Roman"/>
          <w:b/>
          <w:bCs/>
          <w:kern w:val="0"/>
          <w:sz w:val="26"/>
          <w:szCs w:val="26"/>
          <w:bdr w:val="none" w:sz="0" w:space="0" w:color="auto" w:frame="1"/>
          <w14:ligatures w14:val="none"/>
        </w:rPr>
        <w:t>y</w:t>
      </w:r>
      <w:r w:rsidR="00827720" w:rsidRPr="005915DE">
        <w:rPr>
          <w:rFonts w:ascii="MathJax_Math-italic" w:eastAsia="Times New Roman" w:hAnsi="MathJax_Math-italic" w:cs="Times New Roman"/>
          <w:b/>
          <w:bCs/>
          <w:kern w:val="0"/>
          <w:sz w:val="26"/>
          <w:szCs w:val="26"/>
          <w:bdr w:val="none" w:sz="0" w:space="0" w:color="auto" w:frame="1"/>
          <w:vertAlign w:val="subscript"/>
          <w14:ligatures w14:val="none"/>
        </w:rPr>
        <w:t>t</w:t>
      </w:r>
      <w:r w:rsidRPr="005915DE">
        <w:rPr>
          <w:i/>
          <w:iCs/>
        </w:rPr>
        <w:t xml:space="preserve"> </w:t>
      </w:r>
      <w:r>
        <w:t xml:space="preserve">is arranged such that each row relates to observations of population </w:t>
      </w:r>
      <w:r w:rsidRPr="005915DE">
        <w:rPr>
          <w:i/>
          <w:iCs/>
        </w:rPr>
        <w:t>p</w:t>
      </w:r>
      <w:r>
        <w:t xml:space="preserve"> by survey method </w:t>
      </w:r>
      <w:r w:rsidRPr="005915DE">
        <w:rPr>
          <w:i/>
          <w:iCs/>
        </w:rPr>
        <w:t>s</w:t>
      </w:r>
      <w:r>
        <w:t>.</w:t>
      </w:r>
      <w:r w:rsidR="00827720" w:rsidRPr="005915DE">
        <w:rPr>
          <w:rFonts w:ascii="MathJax_Math-italic" w:eastAsia="Times New Roman" w:hAnsi="MathJax_Math-italic" w:cs="Times New Roman"/>
          <w:b/>
          <w:bCs/>
          <w:kern w:val="0"/>
          <w:sz w:val="26"/>
          <w:szCs w:val="26"/>
          <w:bdr w:val="none" w:sz="0" w:space="0" w:color="auto" w:frame="1"/>
          <w14:ligatures w14:val="none"/>
        </w:rPr>
        <w:t xml:space="preserve"> Z</w:t>
      </w:r>
      <w:r>
        <w:t xml:space="preserve"> is specified such that each population as identified in the data will correspond to a distinct underlying natural state. By specifying each population as an underlying state, the model will be able to assess variation in the natural state of the population as separate from variation in counts arising due to the survey method employed.  The vector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 xml:space="preserve">contains a unique bias term for each survey method, irrespective of population. </w:t>
      </w:r>
      <w:commentRangeStart w:id="9"/>
      <w:commentRangeStart w:id="10"/>
      <w:r>
        <w:t xml:space="preserve">One method will be selected as a reference against which other methods will be measured, meaning that for this method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is set equal to zero</w:t>
      </w:r>
      <w:commentRangeEnd w:id="9"/>
      <w:r w:rsidR="008D306D">
        <w:rPr>
          <w:rStyle w:val="CommentReference"/>
          <w:sz w:val="24"/>
          <w:szCs w:val="24"/>
        </w:rPr>
        <w:commentReference w:id="9"/>
      </w:r>
      <w:commentRangeEnd w:id="10"/>
      <w:r w:rsidR="001B7EB1">
        <w:rPr>
          <w:rStyle w:val="CommentReference"/>
          <w:sz w:val="24"/>
          <w:szCs w:val="24"/>
        </w:rPr>
        <w:commentReference w:id="10"/>
      </w:r>
      <w:r>
        <w:t xml:space="preserve">. The matrix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rsidR="00827720" w:rsidRPr="005915DE">
        <w:rPr>
          <w:b/>
          <w:bCs/>
        </w:rPr>
        <w:t xml:space="preserve"> </w:t>
      </w:r>
      <w:r>
        <w:t xml:space="preserve">is specified in a similar manner, with a unique </w:t>
      </w:r>
      <w:r w:rsidRPr="005915DE">
        <w:rPr>
          <w:i/>
          <w:iCs/>
        </w:rPr>
        <w:t>r</w:t>
      </w:r>
      <w:r>
        <w:t xml:space="preserve"> term for each method placed in the corresponding places along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t xml:space="preserve">‘s diagonal. Again, this is irrespective of population to capture the variation inherent in each survey method. </w:t>
      </w:r>
    </w:p>
    <w:p w14:paraId="56A41991" w14:textId="4F4E5CD6" w:rsidR="00845D21" w:rsidRPr="00DC156E" w:rsidRDefault="00845D21" w:rsidP="002F397B">
      <w:pPr>
        <w:spacing w:after="0" w:line="480" w:lineRule="auto"/>
        <w:ind w:firstLine="360"/>
      </w:pPr>
      <w:r>
        <w:t xml:space="preserve">Below is an example of the observation equation written out in matrix form. In this example, two populations of salmonid have been surveyed with a total of five survey methods. As indicated by the </w:t>
      </w:r>
      <w:r w:rsidRPr="005915DE">
        <w:rPr>
          <w:i/>
          <w:iCs/>
        </w:rPr>
        <w:t>y</w:t>
      </w:r>
      <w:r>
        <w:t xml:space="preserve"> term subscripts, population one has been surveyed with methods one through four and population two with methods one, four, and five. </w:t>
      </w:r>
      <w:r w:rsidR="00766C9C" w:rsidRPr="005915DE">
        <w:rPr>
          <w:rFonts w:ascii="MathJax_Math-italic" w:eastAsia="Times New Roman" w:hAnsi="MathJax_Math-italic" w:cs="Times New Roman"/>
          <w:b/>
          <w:bCs/>
          <w:kern w:val="0"/>
          <w:sz w:val="26"/>
          <w:szCs w:val="26"/>
          <w:bdr w:val="none" w:sz="0" w:space="0" w:color="auto" w:frame="1"/>
          <w14:ligatures w14:val="none"/>
        </w:rPr>
        <w:t>Z</w:t>
      </w:r>
      <w:r w:rsidR="00766C9C" w:rsidRPr="005915DE">
        <w:rPr>
          <w:b/>
          <w:bCs/>
        </w:rPr>
        <w:t xml:space="preserve"> </w:t>
      </w:r>
      <w:r>
        <w:t xml:space="preserve">is specified </w:t>
      </w:r>
      <w:r w:rsidR="00573756">
        <w:t>as</w:t>
      </w:r>
      <w:r>
        <w:t xml:space="preserve"> two columns relating to the two populations which here are considered underlying states (</w:t>
      </w:r>
      <w:r w:rsidRPr="005915DE">
        <w:rPr>
          <w:i/>
          <w:iCs/>
        </w:rPr>
        <w:t>x</w:t>
      </w:r>
      <w:r w:rsidRPr="005915DE">
        <w:rPr>
          <w:i/>
          <w:iCs/>
          <w:vertAlign w:val="subscript"/>
        </w:rPr>
        <w:t>1</w:t>
      </w:r>
      <w:r>
        <w:t xml:space="preserve"> and </w:t>
      </w:r>
      <w:r w:rsidRPr="005915DE">
        <w:rPr>
          <w:i/>
          <w:iCs/>
        </w:rPr>
        <w:t>x</w:t>
      </w:r>
      <w:r w:rsidRPr="005915DE">
        <w:rPr>
          <w:i/>
          <w:iCs/>
          <w:vertAlign w:val="subscript"/>
        </w:rPr>
        <w:t>2</w:t>
      </w:r>
      <w:r>
        <w:t xml:space="preserve">). Survey method one has been selected as the reference method against which other methods’ directional bias will be measured. Therefore, in </w:t>
      </w:r>
      <w:r w:rsidR="00573756">
        <w:t>vector</w:t>
      </w:r>
      <w:r>
        <w:t xml:space="preserve"> </w:t>
      </w:r>
      <w:r w:rsidR="00766C9C" w:rsidRPr="005915DE">
        <w:rPr>
          <w:rFonts w:ascii="MathJax_Math-italic" w:eastAsia="Times New Roman" w:hAnsi="MathJax_Math-italic" w:cs="Times New Roman"/>
          <w:b/>
          <w:bCs/>
          <w:kern w:val="0"/>
          <w:sz w:val="26"/>
          <w:szCs w:val="26"/>
          <w:bdr w:val="none" w:sz="0" w:space="0" w:color="auto" w:frame="1"/>
          <w14:ligatures w14:val="none"/>
        </w:rPr>
        <w:t>a</w:t>
      </w:r>
      <w:r>
        <w:t xml:space="preserve">, those rows which correspond to an observation taken with method one are set equal to zero, while all other methods are represented by an </w:t>
      </w:r>
      <w:r w:rsidRPr="005915DE">
        <w:rPr>
          <w:i/>
          <w:iCs/>
        </w:rPr>
        <w:t xml:space="preserve">a </w:t>
      </w:r>
      <w:r>
        <w:t xml:space="preserve">parameter which repeats as often as the method appears. Finally, </w:t>
      </w:r>
      <w:r w:rsidR="00766C9C" w:rsidRPr="005915DE">
        <w:rPr>
          <w:rFonts w:ascii="MathJax_Math-italic" w:eastAsia="Times New Roman" w:hAnsi="MathJax_Math-italic" w:cs="Times New Roman"/>
          <w:b/>
          <w:bCs/>
          <w:kern w:val="0"/>
          <w:sz w:val="26"/>
          <w:szCs w:val="26"/>
          <w:bdr w:val="none" w:sz="0" w:space="0" w:color="auto" w:frame="1"/>
          <w14:ligatures w14:val="none"/>
        </w:rPr>
        <w:t>R</w:t>
      </w:r>
      <w:r w:rsidR="00766C9C" w:rsidRPr="005915DE">
        <w:rPr>
          <w:b/>
          <w:bCs/>
        </w:rPr>
        <w:t xml:space="preserve"> </w:t>
      </w:r>
      <w:r>
        <w:t xml:space="preserve">is specified so that each survey method is represented by an </w:t>
      </w:r>
      <w:r w:rsidRPr="005915DE">
        <w:rPr>
          <w:i/>
          <w:iCs/>
        </w:rPr>
        <w:t>r</w:t>
      </w:r>
      <w:r>
        <w:t xml:space="preserve"> parameter</w:t>
      </w:r>
      <w:r w:rsidR="00573756">
        <w:t>,</w:t>
      </w:r>
      <w:r>
        <w:t xml:space="preserve"> which again repeats as often as the method appears, to capture the variance inherent to each.</w:t>
      </w:r>
    </w:p>
    <w:p w14:paraId="7075AD2F" w14:textId="77777777" w:rsidR="00845D21" w:rsidRDefault="00845D21" w:rsidP="00573756">
      <w:pPr>
        <w:pStyle w:val="ListParagraph"/>
        <w:spacing w:after="0" w:line="480" w:lineRule="auto"/>
        <w:ind w:left="360"/>
      </w:pPr>
      <w:commentRangeStart w:id="11"/>
      <w:r>
        <w:rPr>
          <w:noProof/>
        </w:rPr>
        <w:lastRenderedPageBreak/>
        <w:drawing>
          <wp:inline distT="0" distB="0" distL="0" distR="0" wp14:anchorId="2A3F82C2" wp14:editId="618817DA">
            <wp:extent cx="5937250" cy="1205865"/>
            <wp:effectExtent l="0" t="0" r="6350" b="0"/>
            <wp:docPr id="237293311" name="Picture 3"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3311" name="Picture 3" descr="A number and number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205865"/>
                    </a:xfrm>
                    <a:prstGeom prst="rect">
                      <a:avLst/>
                    </a:prstGeom>
                    <a:noFill/>
                    <a:ln>
                      <a:noFill/>
                    </a:ln>
                  </pic:spPr>
                </pic:pic>
              </a:graphicData>
            </a:graphic>
          </wp:inline>
        </w:drawing>
      </w:r>
      <w:commentRangeEnd w:id="11"/>
      <w:r w:rsidR="008D306D">
        <w:rPr>
          <w:rStyle w:val="CommentReference"/>
          <w:sz w:val="24"/>
          <w:szCs w:val="24"/>
        </w:rPr>
        <w:commentReference w:id="11"/>
      </w:r>
    </w:p>
    <w:p w14:paraId="29535E3C" w14:textId="6E73A74B" w:rsidR="00845D21" w:rsidRDefault="00845D21" w:rsidP="002F397B">
      <w:pPr>
        <w:spacing w:after="0" w:line="480" w:lineRule="auto"/>
        <w:ind w:firstLine="360"/>
      </w:pPr>
      <w:r>
        <w:t>The process/state equation is more straightforward. It is constructed to be as parsimonious as possible</w:t>
      </w:r>
      <w:r w:rsidR="005F11BD">
        <w:t xml:space="preserve"> to</w:t>
      </w:r>
      <w:r>
        <w:t xml:space="preserve"> essentially act as a receptacle for the natural variance in annual salmonid spawner returns. </w:t>
      </w:r>
      <w:r w:rsidR="00766C9C" w:rsidRPr="005915DE">
        <w:rPr>
          <w:rFonts w:ascii="MathJax_Math-italic" w:eastAsia="Times New Roman" w:hAnsi="MathJax_Math-italic" w:cs="Times New Roman"/>
          <w:b/>
          <w:bCs/>
          <w:kern w:val="0"/>
          <w:sz w:val="26"/>
          <w:szCs w:val="26"/>
          <w:bdr w:val="none" w:sz="0" w:space="0" w:color="auto" w:frame="1"/>
          <w14:ligatures w14:val="none"/>
        </w:rPr>
        <w:t>B</w:t>
      </w:r>
      <w:r w:rsidRPr="005915DE">
        <w:rPr>
          <w:b/>
          <w:bCs/>
          <w:vertAlign w:val="subscript"/>
        </w:rPr>
        <w:t xml:space="preserve"> </w:t>
      </w:r>
      <w:r>
        <w:t>is specified as an identity matri</w:t>
      </w:r>
      <w:r w:rsidR="005F11BD">
        <w:t>x.</w:t>
      </w:r>
      <w:r>
        <w:t xml:space="preserve"> </w:t>
      </w:r>
      <w:commentRangeStart w:id="12"/>
      <w:commentRangeStart w:id="13"/>
      <w:r w:rsidR="005F11BD">
        <w:t>T</w:t>
      </w:r>
      <w:r>
        <w:t xml:space="preserve">he vector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rsidR="00766C9C" w:rsidRPr="005915DE">
        <w:rPr>
          <w:i/>
          <w:iCs/>
        </w:rPr>
        <w:t xml:space="preserve"> </w:t>
      </w:r>
      <w:r>
        <w:t>is set to zero or allowed to estimate a trend in each population’s growth will depend on model fit.</w:t>
      </w:r>
      <w:r w:rsidR="00575570">
        <w:t xml:space="preserve"> </w:t>
      </w:r>
      <w:commentRangeEnd w:id="12"/>
      <w:r w:rsidR="008D306D">
        <w:rPr>
          <w:rStyle w:val="CommentReference"/>
          <w:sz w:val="24"/>
          <w:szCs w:val="24"/>
        </w:rPr>
        <w:commentReference w:id="12"/>
      </w:r>
      <w:commentRangeEnd w:id="13"/>
      <w:r w:rsidR="00EC46A6">
        <w:rPr>
          <w:rStyle w:val="CommentReference"/>
          <w:sz w:val="24"/>
          <w:szCs w:val="24"/>
        </w:rPr>
        <w:commentReference w:id="13"/>
      </w:r>
      <w:commentRangeStart w:id="14"/>
      <w:commentRangeStart w:id="15"/>
      <w:r>
        <w:t xml:space="preserve">Finally, the terms along the diagonal of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will be set equal to each other in initial model specifications, although the inclusion of other specifications (unequal population variances and </w:t>
      </w:r>
      <w:r w:rsidR="00575570">
        <w:t>allowing for</w:t>
      </w:r>
      <w:r>
        <w:t xml:space="preserve"> </w:t>
      </w:r>
      <w:r w:rsidR="00575570">
        <w:t xml:space="preserve">equal </w:t>
      </w:r>
      <w:r>
        <w:t xml:space="preserve">variance and </w:t>
      </w:r>
      <w:r w:rsidR="00575570">
        <w:t xml:space="preserve">equal </w:t>
      </w:r>
      <w:r>
        <w:t>covariance</w:t>
      </w:r>
      <w:r w:rsidR="00575570">
        <w:t xml:space="preserve"> terms</w:t>
      </w:r>
      <w:r>
        <w:t>) will also depend on model fit.</w:t>
      </w:r>
      <w:commentRangeEnd w:id="14"/>
      <w:r w:rsidR="008D306D">
        <w:rPr>
          <w:rStyle w:val="CommentReference"/>
          <w:sz w:val="24"/>
          <w:szCs w:val="24"/>
        </w:rPr>
        <w:commentReference w:id="14"/>
      </w:r>
      <w:commentRangeEnd w:id="15"/>
      <w:r w:rsidR="00EC46A6">
        <w:rPr>
          <w:rStyle w:val="CommentReference"/>
          <w:sz w:val="24"/>
          <w:szCs w:val="24"/>
        </w:rPr>
        <w:commentReference w:id="15"/>
      </w:r>
      <w:r>
        <w:t xml:space="preserve"> Below is an example of the process/state equation written out in matrix form.</w:t>
      </w:r>
    </w:p>
    <w:p w14:paraId="6BA45CDD" w14:textId="4645030E" w:rsidR="00845D21" w:rsidRDefault="00464245" w:rsidP="002F397B">
      <w:pPr>
        <w:pStyle w:val="ListParagraph"/>
        <w:spacing w:after="0" w:line="480" w:lineRule="auto"/>
        <w:ind w:left="360"/>
      </w:pPr>
      <w:r w:rsidRPr="00464245">
        <w:rPr>
          <w:noProof/>
        </w:rPr>
        <w:drawing>
          <wp:inline distT="0" distB="0" distL="0" distR="0" wp14:anchorId="49372CB7" wp14:editId="18C515E3">
            <wp:extent cx="5943600" cy="633095"/>
            <wp:effectExtent l="0" t="0" r="0" b="0"/>
            <wp:docPr id="3221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8073" name=""/>
                    <pic:cNvPicPr/>
                  </pic:nvPicPr>
                  <pic:blipFill>
                    <a:blip r:embed="rId14"/>
                    <a:stretch>
                      <a:fillRect/>
                    </a:stretch>
                  </pic:blipFill>
                  <pic:spPr>
                    <a:xfrm>
                      <a:off x="0" y="0"/>
                      <a:ext cx="5943600" cy="633095"/>
                    </a:xfrm>
                    <a:prstGeom prst="rect">
                      <a:avLst/>
                    </a:prstGeom>
                  </pic:spPr>
                </pic:pic>
              </a:graphicData>
            </a:graphic>
          </wp:inline>
        </w:drawing>
      </w:r>
    </w:p>
    <w:p w14:paraId="1B8B8505" w14:textId="3583EB0C" w:rsidR="00845D21" w:rsidRDefault="00845D21" w:rsidP="002F397B">
      <w:pPr>
        <w:spacing w:after="0" w:line="480" w:lineRule="auto"/>
      </w:pPr>
      <w:r>
        <w:t xml:space="preserve">The various specifications of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t xml:space="preserve"> and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t xml:space="preserve"> will be evaluated for best fit based on AICc, as this criterion is better suited than AIC for balancing fit with the many parameters MARSS models must estimate. </w:t>
      </w:r>
    </w:p>
    <w:p w14:paraId="0A4FD22E" w14:textId="1D3A6ACA" w:rsidR="001B3644" w:rsidRDefault="00845D21" w:rsidP="002F397B">
      <w:pPr>
        <w:spacing w:after="0" w:line="480" w:lineRule="auto"/>
        <w:ind w:firstLine="720"/>
      </w:pPr>
      <w:commentRangeStart w:id="16"/>
      <w:r>
        <w:t xml:space="preserve">With these estimates in hand, </w:t>
      </w:r>
      <w:r w:rsidR="00BB61A0">
        <w:t>the data presented in Figure 1 will then be adjusted to account for bias</w:t>
      </w:r>
      <w:r w:rsidR="00EC46A6">
        <w:t xml:space="preserve"> resulting from survey methods used</w:t>
      </w:r>
      <w:r w:rsidR="00BB61A0">
        <w:t xml:space="preserve"> to assess whether populations are indeed behaving in the way the figure portrays. N</w:t>
      </w:r>
      <w:r w:rsidR="001B3644">
        <w:t xml:space="preserve">ext steps will involve </w:t>
      </w:r>
      <w:r>
        <w:t xml:space="preserve">the </w:t>
      </w:r>
      <w:r w:rsidR="001B3644">
        <w:t xml:space="preserve">evaluation of mixed survey method approaches commonly seen in the data. Many of the abundance estimates reported are derived from the combination of more than one survey method (see attached appendix). For </w:t>
      </w:r>
      <w:r w:rsidR="001B3644">
        <w:lastRenderedPageBreak/>
        <w:t xml:space="preserve">example, </w:t>
      </w:r>
      <w:r w:rsidR="00D55635">
        <w:t>Scappoose Creek</w:t>
      </w:r>
      <w:r w:rsidR="001B3644">
        <w:t xml:space="preserve"> winter steelhead are</w:t>
      </w:r>
      <w:r w:rsidR="00D55635">
        <w:t xml:space="preserve"> each year</w:t>
      </w:r>
      <w:r w:rsidR="001B3644">
        <w:t xml:space="preserve"> variously surveyed through </w:t>
      </w:r>
      <w:r w:rsidR="00D55635">
        <w:t xml:space="preserve">either </w:t>
      </w:r>
      <w:r w:rsidR="001B3644">
        <w:t>in-river weir counts, total redd counts * fish per redd estimate, or</w:t>
      </w:r>
      <w:r w:rsidR="00D55635">
        <w:t xml:space="preserve"> the combination of the two. This research will evaluate whether imprecision and/or directional bias produced by combining survey methods (such as those described above) is amplified or dampened compared to those associated with each constituent part.</w:t>
      </w:r>
      <w:r w:rsidR="00BB61A0">
        <w:t xml:space="preserve"> This work will also consider the efficiency of the same survey method in estimating populations that differ by orders of magnitude, as it is not hard to imagine the accuracy of a given method differing considerably when the number of fish present differ substantially.</w:t>
      </w:r>
      <w:commentRangeEnd w:id="16"/>
      <w:r w:rsidR="008D306D">
        <w:rPr>
          <w:rStyle w:val="CommentReference"/>
          <w:sz w:val="24"/>
          <w:szCs w:val="24"/>
        </w:rPr>
        <w:commentReference w:id="16"/>
      </w:r>
      <w:r w:rsidR="00BB61A0">
        <w:t xml:space="preserve"> </w:t>
      </w:r>
    </w:p>
    <w:p w14:paraId="38C55F95" w14:textId="77777777" w:rsidR="005915DE" w:rsidRDefault="001B3644" w:rsidP="002F397B">
      <w:pPr>
        <w:spacing w:after="0" w:line="480" w:lineRule="auto"/>
        <w:ind w:firstLine="720"/>
      </w:pPr>
      <w:commentRangeStart w:id="17"/>
      <w:r>
        <w:t xml:space="preserve">The </w:t>
      </w:r>
      <w:r w:rsidR="00845D21">
        <w:t xml:space="preserve">final stage of this research </w:t>
      </w:r>
      <w:r w:rsidR="009F0123">
        <w:t>will consider the trade-offs between survey methods’ cost of implementation and accuracy as assessed by the MARSS models described above.</w:t>
      </w:r>
      <w:r w:rsidR="009F0123" w:rsidRPr="009F0123">
        <w:t xml:space="preserve"> </w:t>
      </w:r>
      <w:r w:rsidR="009F0123">
        <w:t xml:space="preserve">Talks with ODFW research partners regarding the costs of survey methods are ongoing, with the hopes of building a dataset to better understand the inherent value of information associated with each survey method. While numerical data on costs may be impossible to establish, </w:t>
      </w:r>
      <w:r w:rsidR="00FF029A">
        <w:t xml:space="preserve">as the cost of implementing a particular method may differ widely from population to population, </w:t>
      </w:r>
      <w:r w:rsidR="009F0123">
        <w:t>I hope at least to gather categorical information regarding survey method cost structures (i.e., ‘very high’, ‘high’, etc.) to illustrate the tradeoffs between methods.</w:t>
      </w:r>
      <w:r w:rsidR="00FF029A">
        <w:t xml:space="preserve"> Given management agencies’ limited operating budgets, better understanding the cost of accuracy in salmonid surveys will allow fisheries biologists to decide how best funds should be allocated</w:t>
      </w:r>
      <w:r w:rsidR="00BB61A0">
        <w:t xml:space="preserve">. </w:t>
      </w:r>
      <w:commentRangeEnd w:id="17"/>
      <w:r w:rsidR="008D306D">
        <w:rPr>
          <w:rStyle w:val="CommentReference"/>
          <w:sz w:val="24"/>
          <w:szCs w:val="24"/>
        </w:rPr>
        <w:commentReference w:id="17"/>
      </w:r>
    </w:p>
    <w:p w14:paraId="2AD3E038" w14:textId="0642018B" w:rsidR="00845D21" w:rsidRPr="00B06C31" w:rsidRDefault="005915DE" w:rsidP="00B06C31">
      <w:pPr>
        <w:spacing w:after="0" w:line="480" w:lineRule="auto"/>
        <w:rPr>
          <w:u w:val="single"/>
        </w:rPr>
      </w:pPr>
      <w:r>
        <w:br w:type="page"/>
      </w:r>
      <w:r w:rsidR="00845D21" w:rsidRPr="00B06C31">
        <w:rPr>
          <w:b/>
          <w:bCs/>
          <w:u w:val="single"/>
        </w:rPr>
        <w:lastRenderedPageBreak/>
        <w:t>Results</w:t>
      </w:r>
    </w:p>
    <w:p w14:paraId="5170535B" w14:textId="07B3563E" w:rsidR="005915DE" w:rsidRPr="00B06C31" w:rsidRDefault="00845D21" w:rsidP="00B06C31">
      <w:pPr>
        <w:spacing w:after="0" w:line="480" w:lineRule="auto"/>
      </w:pPr>
      <w:r>
        <w:t>This work will estimate levels of precision and directional bias in thirty-one commonly used salmonid survey methods.</w:t>
      </w:r>
      <w:r w:rsidR="002B445C">
        <w:t xml:space="preserve"> I expect some methods to be characterized by inherently higher levels of precision (i.e. weir counts, PIT-tagging) than others (i.e. </w:t>
      </w:r>
      <w:r w:rsidR="00B64193">
        <w:t xml:space="preserve">redd counts), although it is likely that those more accurate estimates come with more significant costs. I also expect some methods to be characterized by inherent directional bias, which is of particular importance to understand when using these data to inform decision </w:t>
      </w:r>
      <w:commentRangeStart w:id="18"/>
      <w:r w:rsidR="00B64193">
        <w:t>making.</w:t>
      </w:r>
      <w:r w:rsidR="005915DE">
        <w:rPr>
          <w:b/>
          <w:bCs/>
        </w:rPr>
        <w:br w:type="page"/>
      </w:r>
      <w:commentRangeEnd w:id="18"/>
      <w:r w:rsidR="00EE07EC" w:rsidRPr="00B06C31">
        <w:rPr>
          <w:rStyle w:val="CommentReference"/>
          <w:sz w:val="24"/>
          <w:szCs w:val="24"/>
        </w:rPr>
        <w:commentReference w:id="18"/>
      </w:r>
    </w:p>
    <w:p w14:paraId="7E504D94" w14:textId="2D41D40A" w:rsidR="00845D21" w:rsidRPr="00B06C31" w:rsidRDefault="005915DE" w:rsidP="00B06C31">
      <w:pPr>
        <w:spacing w:after="0" w:line="480" w:lineRule="auto"/>
        <w:rPr>
          <w:b/>
          <w:bCs/>
          <w:u w:val="single"/>
        </w:rPr>
      </w:pPr>
      <w:r w:rsidRPr="00B06C31">
        <w:rPr>
          <w:b/>
          <w:bCs/>
          <w:u w:val="single"/>
        </w:rPr>
        <w:lastRenderedPageBreak/>
        <w:t>Discussion</w:t>
      </w:r>
    </w:p>
    <w:p w14:paraId="3E636CF2" w14:textId="1EEC05D1" w:rsidR="00B06C31" w:rsidRDefault="00845D21" w:rsidP="00B06C31">
      <w:pPr>
        <w:spacing w:after="0" w:line="480" w:lineRule="auto"/>
      </w:pPr>
      <w:r>
        <w:t xml:space="preserve">Understanding levels of precision in salmonid survey methods will enable fisheries managers to better understand the reliability of abundance estimates upon which they must make decisions. Understanding directional bias in these survey methods will help policymakers to more accurately determine the long-term cost-effectiveness of conservation efforts. </w:t>
      </w:r>
      <w:r w:rsidR="00AB2D1A">
        <w:t xml:space="preserve">As noted, </w:t>
      </w:r>
      <w:r w:rsidR="00B64193">
        <w:t xml:space="preserve">decisions to list and de-list species under the US Endangered Species Act </w:t>
      </w:r>
      <w:r w:rsidR="00AB2D1A">
        <w:t>rely</w:t>
      </w:r>
      <w:r w:rsidR="00B64193">
        <w:t xml:space="preserve"> on population surveys of the sort this work is interrogating. Low precision in survey methods may lead to </w:t>
      </w:r>
      <w:r w:rsidR="00AB2D1A">
        <w:t xml:space="preserve">undetected </w:t>
      </w:r>
      <w:r w:rsidR="00B64193">
        <w:t xml:space="preserve">shifts in population regimes, while consistent directional bias could lead to over- or under-estimation of target populations. </w:t>
      </w:r>
      <w:r w:rsidR="00D55635">
        <w:t xml:space="preserve">Understanding how combining more than one method may influence the accuracy of abundance estimates will be of great use to fisheries biologists tasked with developing survey plans. </w:t>
      </w:r>
      <w:r>
        <w:t xml:space="preserve">Understanding these survey methods’ levels of precision and directional bias relative to each method’s implementation </w:t>
      </w:r>
      <w:r w:rsidR="00AB2D1A">
        <w:t xml:space="preserve">cost </w:t>
      </w:r>
      <w:r>
        <w:t xml:space="preserve">will further help fisheries managers in programming future salmonid survey efforts. </w:t>
      </w:r>
      <w:r w:rsidR="00B06C31">
        <w:br w:type="page"/>
      </w:r>
    </w:p>
    <w:p w14:paraId="075754D0" w14:textId="77777777" w:rsidR="00B06C31" w:rsidRPr="00970BA1" w:rsidRDefault="00B06C31" w:rsidP="00B06C31">
      <w:pPr>
        <w:suppressLineNumbers/>
        <w:spacing w:after="0" w:line="240" w:lineRule="auto"/>
        <w:rPr>
          <w:b/>
          <w:bCs/>
        </w:rPr>
      </w:pPr>
      <w:r w:rsidRPr="00970BA1">
        <w:rPr>
          <w:b/>
          <w:bCs/>
        </w:rPr>
        <w:lastRenderedPageBreak/>
        <w:t xml:space="preserve">Acknowledgements </w:t>
      </w:r>
    </w:p>
    <w:p w14:paraId="3C5D7253" w14:textId="77777777" w:rsidR="00B06C31" w:rsidRDefault="00B06C31" w:rsidP="00B06C31">
      <w:pPr>
        <w:suppressLineNumbers/>
        <w:spacing w:after="0" w:line="240" w:lineRule="auto"/>
      </w:pPr>
    </w:p>
    <w:p w14:paraId="67F7ADEC" w14:textId="1B7F744E" w:rsidR="00B06C31" w:rsidRDefault="00A93507" w:rsidP="00B06C31">
      <w:pPr>
        <w:suppressLineNumbers/>
        <w:spacing w:after="0" w:line="240" w:lineRule="auto"/>
      </w:pPr>
      <w:r>
        <w:t>Acknowledgements related to this project</w:t>
      </w:r>
      <w:r w:rsidR="007F5A9C">
        <w:t xml:space="preserve">. This should not be double spaced. I guess I should thank the rest of the committee if they aren’t going to be authors on this. Maybe Genoa Salami too? </w:t>
      </w:r>
    </w:p>
    <w:p w14:paraId="462BFED1" w14:textId="67BD8FDC" w:rsidR="00AA7E4F" w:rsidRDefault="00AA7E4F" w:rsidP="00AA7E4F">
      <w:r>
        <w:br w:type="page"/>
      </w:r>
    </w:p>
    <w:p w14:paraId="4EC83DEC" w14:textId="77777777" w:rsidR="00AA7E4F" w:rsidRPr="00B81603" w:rsidRDefault="00AA7E4F" w:rsidP="00B81603">
      <w:pPr>
        <w:spacing w:line="240" w:lineRule="auto"/>
        <w:rPr>
          <w:b/>
          <w:bCs/>
        </w:rPr>
      </w:pPr>
      <w:r w:rsidRPr="00B81603">
        <w:rPr>
          <w:b/>
          <w:bCs/>
        </w:rPr>
        <w:lastRenderedPageBreak/>
        <w:t>References</w:t>
      </w:r>
    </w:p>
    <w:p w14:paraId="5AE579C5" w14:textId="3190F5A3" w:rsidR="00AA7E4F" w:rsidRDefault="00AA7E4F" w:rsidP="00E16B30">
      <w:pPr>
        <w:spacing w:line="240" w:lineRule="auto"/>
        <w:ind w:left="720" w:hanging="720"/>
      </w:pPr>
      <w:r>
        <w:t xml:space="preserve">Anderson, J. T., J. E. Merz, C. B. Watry, </w:t>
      </w:r>
      <w:r w:rsidR="00523A07">
        <w:t xml:space="preserve">and </w:t>
      </w:r>
      <w:r>
        <w:t xml:space="preserve">M. K. Saiki. 2015. Comparison of selected population characteristics of adult Chinook salmon during upstream passage through a resistance board weir and during salmon carcass surveys. </w:t>
      </w:r>
      <w:r>
        <w:rPr>
          <w:i/>
          <w:iCs/>
        </w:rPr>
        <w:t>California Fish and Game</w:t>
      </w:r>
      <w:r>
        <w:t xml:space="preserve"> 101(1): 24-39.</w:t>
      </w:r>
    </w:p>
    <w:p w14:paraId="111F6A67" w14:textId="026CFCF7" w:rsidR="00047FF7" w:rsidRDefault="00047FF7" w:rsidP="00E16B30">
      <w:pPr>
        <w:spacing w:line="240" w:lineRule="auto"/>
        <w:ind w:left="720" w:hanging="720"/>
      </w:pPr>
      <w:r>
        <w:t xml:space="preserve">Annear, A. R., M. A. Simonson, P. M. Dixon, </w:t>
      </w:r>
      <w:r w:rsidR="00523A07">
        <w:t xml:space="preserve">and </w:t>
      </w:r>
      <w:r>
        <w:t xml:space="preserve">M. J. Weber. 2024. Effects of sampling effort and data sources on precision of common carp and bigmouth buffalo population estimates. </w:t>
      </w:r>
      <w:r>
        <w:rPr>
          <w:i/>
          <w:iCs/>
        </w:rPr>
        <w:t xml:space="preserve">Fisheries Research </w:t>
      </w:r>
      <w:r>
        <w:t>279: 12 pp.</w:t>
      </w:r>
    </w:p>
    <w:p w14:paraId="35D8CCD0" w14:textId="5E06A2FD" w:rsidR="00523A07" w:rsidRPr="00523A07" w:rsidRDefault="00523A07" w:rsidP="00E16B30">
      <w:pPr>
        <w:spacing w:line="240" w:lineRule="auto"/>
        <w:ind w:left="720" w:hanging="720"/>
      </w:pPr>
      <w:r>
        <w:t xml:space="preserve">Copeland, T., W. C. Schrader, B. Barnett, M. T. Davison, K. A. Apperson, M. Belnap, E. Brown, and E. A. Felts. 2019. Idaho Chinook Salmon Spawning Ground Surveys: Protocol and Historic Trends. </w:t>
      </w:r>
      <w:r>
        <w:rPr>
          <w:i/>
          <w:iCs/>
        </w:rPr>
        <w:t>Idaho Department of Fish and Game, Annual Report 19-16</w:t>
      </w:r>
      <w:r>
        <w:t>, 109pp.</w:t>
      </w:r>
    </w:p>
    <w:p w14:paraId="5B420324" w14:textId="167A6A36" w:rsidR="00AA7E4F" w:rsidRDefault="00AA7E4F" w:rsidP="00E16B30">
      <w:pPr>
        <w:spacing w:line="240" w:lineRule="auto"/>
        <w:ind w:left="720" w:hanging="720"/>
      </w:pPr>
      <w:r>
        <w:t xml:space="preserve">English, K. K., R. C. Bocking, </w:t>
      </w:r>
      <w:r w:rsidR="006D64A8">
        <w:t xml:space="preserve">and </w:t>
      </w:r>
      <w:r>
        <w:t xml:space="preserve">J. R. Irvine. 1992. A Robust Procedure for Estimating Salmon Escapement based on the Area-Under-the-Curve Method. </w:t>
      </w:r>
      <w:r>
        <w:rPr>
          <w:i/>
          <w:iCs/>
        </w:rPr>
        <w:t xml:space="preserve">Canadian Journal of Fisheries and Aquatic Sciences </w:t>
      </w:r>
      <w:r>
        <w:t>49(10): 1982-1989.</w:t>
      </w:r>
    </w:p>
    <w:p w14:paraId="122D137E" w14:textId="5749AAB6" w:rsidR="00AA7E4F" w:rsidRDefault="00AA7E4F" w:rsidP="00E16B30">
      <w:pPr>
        <w:spacing w:line="240" w:lineRule="auto"/>
        <w:ind w:left="720" w:hanging="720"/>
      </w:pPr>
      <w:r>
        <w:t xml:space="preserve">Jaeger, W. K. and M. D. Scheuerell. 2023. Return(s) on investment: Restoration spending in the Columbia River Basin and increased abundance of salmon and steelhead. </w:t>
      </w:r>
      <w:r>
        <w:rPr>
          <w:i/>
          <w:iCs/>
        </w:rPr>
        <w:t xml:space="preserve">PLoS ONE </w:t>
      </w:r>
      <w:r>
        <w:t>18(7): 21 pp.</w:t>
      </w:r>
    </w:p>
    <w:p w14:paraId="25D053A5" w14:textId="0002E44D" w:rsidR="00683692" w:rsidRDefault="00683692" w:rsidP="00E16B30">
      <w:pPr>
        <w:spacing w:line="240" w:lineRule="auto"/>
        <w:ind w:left="720" w:hanging="720"/>
      </w:pPr>
      <w:r>
        <w:t xml:space="preserve">Johnson, D. H., B. M. Shrier, J. S. O’Neal, J. A. Knutzen, X. Augerot, T. A. O’Neill, </w:t>
      </w:r>
      <w:r w:rsidR="006D64A8">
        <w:t xml:space="preserve">and </w:t>
      </w:r>
      <w:r>
        <w:t xml:space="preserve">T. N. Pearsons. 2007. </w:t>
      </w:r>
      <w:r w:rsidRPr="00523A07">
        <w:t>Salmon Field Protocols Handbook – Techniques for Assessing Status and Trends in Salmon and Trout Populations.</w:t>
      </w:r>
      <w:r>
        <w:t xml:space="preserve"> </w:t>
      </w:r>
      <w:r w:rsidRPr="00523A07">
        <w:rPr>
          <w:i/>
          <w:iCs/>
        </w:rPr>
        <w:t>American Fisheries Society in Association with State of the Salmon</w:t>
      </w:r>
      <w:r>
        <w:t>, 490 pp.</w:t>
      </w:r>
    </w:p>
    <w:p w14:paraId="62914DD9" w14:textId="7176B2F1" w:rsidR="005510AE" w:rsidRDefault="005510AE" w:rsidP="00E16B30">
      <w:pPr>
        <w:spacing w:line="240" w:lineRule="auto"/>
        <w:ind w:left="720" w:hanging="720"/>
      </w:pPr>
      <w:r>
        <w:t xml:space="preserve">Knudsen, E. E. 2000. Managing Pacific Salmon Escapements: The Gaps Between Theory and Reality. In E. E. Knudsen, Steward, C. R., MacDonald, D. D., Williams, J. E., Reiser, D. W. </w:t>
      </w:r>
      <w:r w:rsidRPr="00613DCC">
        <w:t>Sustainable Fisheries Managemnt – Pacific Salmon,</w:t>
      </w:r>
      <w:r>
        <w:t xml:space="preserve"> 237-272. Lewis Publishers.</w:t>
      </w:r>
    </w:p>
    <w:p w14:paraId="66519127" w14:textId="75DBB3B9" w:rsidR="00AA7E4F" w:rsidRDefault="00AA7E4F" w:rsidP="00E16B30">
      <w:pPr>
        <w:spacing w:line="240" w:lineRule="auto"/>
        <w:ind w:left="720" w:hanging="720"/>
      </w:pPr>
      <w:r>
        <w:t xml:space="preserve">Lamb, J. J., B. P. Sandford, S. G. Smith, </w:t>
      </w:r>
      <w:r w:rsidR="006D64A8">
        <w:t xml:space="preserve">and </w:t>
      </w:r>
      <w:r>
        <w:t xml:space="preserve">G. A. Axel. 2024. Comparing standard- and reduced-size passive integrated transponder (PIT) tags for monitoring juvenile wild spring Chinook salmon. </w:t>
      </w:r>
      <w:r>
        <w:rPr>
          <w:i/>
          <w:iCs/>
        </w:rPr>
        <w:t xml:space="preserve">Transactions of the American Fisheries Society </w:t>
      </w:r>
      <w:r>
        <w:t>153(4): 505-521.</w:t>
      </w:r>
    </w:p>
    <w:p w14:paraId="0900C71A" w14:textId="2364CF08" w:rsidR="00AA7E4F" w:rsidRDefault="00AA7E4F" w:rsidP="00E16B30">
      <w:pPr>
        <w:spacing w:line="240" w:lineRule="auto"/>
        <w:ind w:left="720" w:hanging="720"/>
      </w:pPr>
      <w:r>
        <w:t xml:space="preserve">Millar, R. B. and C. E. Jordan. 2013. A simple variance estimator for the trapezoidal area-under-the-curve estimator of the spawner abundance of Pacific salmon. </w:t>
      </w:r>
      <w:r>
        <w:rPr>
          <w:i/>
          <w:iCs/>
        </w:rPr>
        <w:t xml:space="preserve">Canadian Journal of Fisheries and Aquatic Sciences </w:t>
      </w:r>
      <w:r>
        <w:t>70(8): 1231-1239.</w:t>
      </w:r>
    </w:p>
    <w:p w14:paraId="532336F9" w14:textId="580D6449" w:rsidR="00AA7E4F" w:rsidRDefault="00AA7E4F" w:rsidP="00E16B30">
      <w:pPr>
        <w:spacing w:line="240" w:lineRule="auto"/>
        <w:ind w:left="720" w:hanging="720"/>
      </w:pPr>
      <w:r>
        <w:t>National Oceanic and Atmospheric Administration. 2025</w:t>
      </w:r>
      <w:r w:rsidR="00752C5D">
        <w:t>a</w:t>
      </w:r>
      <w:r>
        <w:t>. Pacific Salmon and Steelhead: ESA Protected Species. Available at:</w:t>
      </w:r>
      <w:r w:rsidR="00752C5D" w:rsidRPr="00752C5D">
        <w:t xml:space="preserve"> </w:t>
      </w:r>
      <w:hyperlink r:id="rId15" w:history="1">
        <w:r w:rsidR="00752C5D" w:rsidRPr="00CB082C">
          <w:rPr>
            <w:rStyle w:val="Hyperlink"/>
          </w:rPr>
          <w:t>https://www.fisheries.noaa.gov/species/pacific-salmon-and-steelhead/esa-protected-species</w:t>
        </w:r>
      </w:hyperlink>
      <w:r w:rsidR="00752C5D">
        <w:t xml:space="preserve"> (accessed May 18, 2025)</w:t>
      </w:r>
    </w:p>
    <w:p w14:paraId="72B52536" w14:textId="12D000A0" w:rsidR="00752C5D" w:rsidRDefault="00752C5D" w:rsidP="00752C5D">
      <w:pPr>
        <w:spacing w:line="240" w:lineRule="auto"/>
        <w:ind w:left="720" w:hanging="720"/>
      </w:pPr>
      <w:r>
        <w:t xml:space="preserve">National Oceanic and Atmospheric Administration. 2025b. Listing Species Under the Endangered Species Act. Available at: </w:t>
      </w:r>
      <w:hyperlink r:id="rId16" w:history="1">
        <w:r w:rsidRPr="00752C5D">
          <w:rPr>
            <w:rStyle w:val="Hyperlink"/>
          </w:rPr>
          <w:t>https://www.fisheries.noaa.gov/national/endangered-species-conservation/listing-species-under-endangered-species-act</w:t>
        </w:r>
      </w:hyperlink>
      <w:r>
        <w:t xml:space="preserve"> (accessed May 27, 2025) </w:t>
      </w:r>
    </w:p>
    <w:p w14:paraId="553502C4" w14:textId="4219B52F" w:rsidR="00047FF7" w:rsidRPr="00047FF7" w:rsidRDefault="00047FF7" w:rsidP="00E16B30">
      <w:pPr>
        <w:spacing w:line="240" w:lineRule="auto"/>
        <w:ind w:left="720" w:hanging="720"/>
      </w:pPr>
      <w:r>
        <w:lastRenderedPageBreak/>
        <w:t xml:space="preserve">Nuno, A., N. Bunnefeld, </w:t>
      </w:r>
      <w:r w:rsidR="006D64A8">
        <w:t xml:space="preserve">and </w:t>
      </w:r>
      <w:r>
        <w:t xml:space="preserve">E. J. Milner-Gulland. 2013. Matching observations and reality: using simulation models to improve monitoring under uncertainty in the Serengeti. </w:t>
      </w:r>
      <w:r>
        <w:rPr>
          <w:i/>
          <w:iCs/>
        </w:rPr>
        <w:t>Journal of Applied Ecology</w:t>
      </w:r>
      <w:r>
        <w:t xml:space="preserve"> 50(2): 488-498.</w:t>
      </w:r>
    </w:p>
    <w:p w14:paraId="7C76183C" w14:textId="2ED70FB5" w:rsidR="00AA7E4F" w:rsidRDefault="00AA7E4F" w:rsidP="00E16B30">
      <w:pPr>
        <w:spacing w:line="240" w:lineRule="auto"/>
        <w:ind w:left="720" w:hanging="720"/>
      </w:pPr>
      <w:r>
        <w:t>Oregon Department of Fish and Wildlife Coastal Chinook Research and Monitoring Program. 2024. Field Method for Salmon Spawning Ground Surveys. 22pp.</w:t>
      </w:r>
    </w:p>
    <w:p w14:paraId="2120A567" w14:textId="70059C3C" w:rsidR="00AA7E4F" w:rsidRDefault="00AA7E4F" w:rsidP="00E16B30">
      <w:pPr>
        <w:spacing w:line="240" w:lineRule="auto"/>
        <w:ind w:left="720" w:hanging="720"/>
      </w:pPr>
      <w:r>
        <w:t xml:space="preserve">Parken, C. K., R. E. Bailey, </w:t>
      </w:r>
      <w:r w:rsidR="006D64A8">
        <w:t xml:space="preserve">and </w:t>
      </w:r>
      <w:r>
        <w:t xml:space="preserve">J. R. Irvine. 2003. Incorporating Uncertainty into Area-under-the-Curve and Peak Count Salmon Escapement Estimation. </w:t>
      </w:r>
      <w:r>
        <w:rPr>
          <w:i/>
          <w:iCs/>
        </w:rPr>
        <w:t>North American Journal of Fisheries Management</w:t>
      </w:r>
      <w:r>
        <w:t xml:space="preserve"> 23(1): 78-90.</w:t>
      </w:r>
    </w:p>
    <w:p w14:paraId="5AAC205E" w14:textId="5D27072A" w:rsidR="004A06FB" w:rsidRPr="004A06FB" w:rsidRDefault="004A06FB" w:rsidP="00E16B30">
      <w:pPr>
        <w:spacing w:line="240" w:lineRule="auto"/>
        <w:ind w:left="720" w:hanging="720"/>
      </w:pPr>
      <w:r>
        <w:t xml:space="preserve">Parson, A. L., and J. R. Skalski. 2010. Quantitative Assessment of Salmonid Escapement Techniques. </w:t>
      </w:r>
      <w:r>
        <w:rPr>
          <w:i/>
          <w:iCs/>
        </w:rPr>
        <w:t xml:space="preserve">Reviews in Fisheries Science </w:t>
      </w:r>
      <w:r>
        <w:t>18(4): 301-314.</w:t>
      </w:r>
    </w:p>
    <w:p w14:paraId="073EBC62" w14:textId="2FFF4893" w:rsidR="00F97D86" w:rsidRDefault="00F97D86" w:rsidP="00E16B30">
      <w:pPr>
        <w:spacing w:line="240" w:lineRule="auto"/>
        <w:ind w:left="720" w:hanging="720"/>
      </w:pPr>
      <w:r>
        <w:t xml:space="preserve">Polansky, L., L. Mitchell, </w:t>
      </w:r>
      <w:r w:rsidR="006D64A8">
        <w:t xml:space="preserve">and </w:t>
      </w:r>
      <w:r>
        <w:t xml:space="preserve">K. B. Newman. 2023. Combining multiple data sources with different biases in state-space models for population dynamics. </w:t>
      </w:r>
      <w:r>
        <w:rPr>
          <w:i/>
          <w:iCs/>
        </w:rPr>
        <w:t xml:space="preserve">Ecology and Evolution </w:t>
      </w:r>
      <w:r>
        <w:t>13(6): 12 pp.</w:t>
      </w:r>
    </w:p>
    <w:p w14:paraId="712898E3" w14:textId="54BB95AD" w:rsidR="00F97D86" w:rsidRDefault="00F97D86" w:rsidP="00E16B30">
      <w:pPr>
        <w:spacing w:line="240" w:lineRule="auto"/>
        <w:ind w:left="720" w:hanging="720"/>
      </w:pPr>
      <w:r>
        <w:t>Satterthwaite, W. H.</w:t>
      </w:r>
      <w:r w:rsidR="006D64A8" w:rsidRPr="006D64A8">
        <w:t xml:space="preserve"> </w:t>
      </w:r>
      <w:r w:rsidR="006D64A8">
        <w:t xml:space="preserve">and </w:t>
      </w:r>
      <w:r>
        <w:t xml:space="preserve">A. O. Shelton. 2023. Methods for assessing and responding to bias and uncertainty in US West Coast salmon abundance forecasts. </w:t>
      </w:r>
      <w:r>
        <w:rPr>
          <w:i/>
          <w:iCs/>
        </w:rPr>
        <w:t xml:space="preserve">Fisheries Research </w:t>
      </w:r>
      <w:r>
        <w:t>257</w:t>
      </w:r>
      <w:r w:rsidR="000B2866">
        <w:t>:</w:t>
      </w:r>
      <w:r>
        <w:t xml:space="preserve"> 14 pp.</w:t>
      </w:r>
    </w:p>
    <w:p w14:paraId="74576EA9" w14:textId="22D2E6A8" w:rsidR="009B78F1" w:rsidRPr="005B45F1" w:rsidRDefault="009B78F1" w:rsidP="00E16B30">
      <w:pPr>
        <w:spacing w:line="240" w:lineRule="auto"/>
        <w:ind w:left="720" w:hanging="720"/>
      </w:pPr>
      <w:r>
        <w:t xml:space="preserve">See, K. E. and E. E. Holmes. 2015. Reducing bias and improving precision in species extinction forecasts. </w:t>
      </w:r>
      <w:r w:rsidR="005B45F1">
        <w:rPr>
          <w:i/>
          <w:iCs/>
        </w:rPr>
        <w:t>Ecological Applications</w:t>
      </w:r>
      <w:r w:rsidR="005B45F1">
        <w:t xml:space="preserve"> 25(4): 1157-1165.</w:t>
      </w:r>
    </w:p>
    <w:p w14:paraId="57C01797" w14:textId="7DF676FE" w:rsidR="000B2866" w:rsidRPr="000B2866" w:rsidRDefault="000B2866" w:rsidP="00E16B30">
      <w:pPr>
        <w:spacing w:line="240" w:lineRule="auto"/>
        <w:ind w:left="720" w:hanging="720"/>
      </w:pPr>
      <w:r>
        <w:t>Tracey, J. P.</w:t>
      </w:r>
      <w:r w:rsidR="006D64A8" w:rsidRPr="006D64A8">
        <w:t xml:space="preserve"> </w:t>
      </w:r>
      <w:r w:rsidR="006D64A8">
        <w:t>and</w:t>
      </w:r>
      <w:r>
        <w:t xml:space="preserve"> Fleming, P. J. S. 2023. Recounting bias can affect abundance estimates from intensive helicopter surveys of feral goats. </w:t>
      </w:r>
      <w:r>
        <w:rPr>
          <w:i/>
          <w:iCs/>
        </w:rPr>
        <w:t xml:space="preserve">Wildlife Research </w:t>
      </w:r>
      <w:r>
        <w:t>50(5): 389-397.</w:t>
      </w:r>
    </w:p>
    <w:p w14:paraId="344700C1" w14:textId="6AAEC832" w:rsidR="002B445C" w:rsidRDefault="002B445C" w:rsidP="00E16B30">
      <w:pPr>
        <w:spacing w:line="240" w:lineRule="auto"/>
        <w:ind w:left="720" w:hanging="720"/>
      </w:pPr>
      <w:r>
        <w:t xml:space="preserve">Vallecillo, D., M. Gauthier-Clerc, M. Guillemain, M. Vittecoq, P. Vandewalle, B. Roche, </w:t>
      </w:r>
      <w:r w:rsidR="006D64A8">
        <w:t xml:space="preserve">and </w:t>
      </w:r>
      <w:r>
        <w:t xml:space="preserve">J. Champagnon. 2021. Reliability of animal counts and implications for the interpretation of trends. </w:t>
      </w:r>
      <w:r>
        <w:rPr>
          <w:i/>
          <w:iCs/>
        </w:rPr>
        <w:t xml:space="preserve">Ecology and Evolution </w:t>
      </w:r>
      <w:r>
        <w:t>11(5): 2249-2260.</w:t>
      </w:r>
    </w:p>
    <w:p w14:paraId="5988CF3E" w14:textId="3BCC0ABB" w:rsidR="00CA18F7" w:rsidRDefault="00CA18F7" w:rsidP="00E16B30">
      <w:pPr>
        <w:spacing w:line="240" w:lineRule="auto"/>
        <w:ind w:left="720" w:hanging="720"/>
      </w:pPr>
      <w:r>
        <w:t xml:space="preserve">Walker, S. 2015. Aerial Surveying for Salmon in Alaska. </w:t>
      </w:r>
      <w:r>
        <w:rPr>
          <w:i/>
          <w:iCs/>
        </w:rPr>
        <w:t>Alaska Fish and Wildlife News</w:t>
      </w:r>
      <w:r>
        <w:t>.</w:t>
      </w:r>
    </w:p>
    <w:p w14:paraId="2551ABC8" w14:textId="0C273A6A" w:rsidR="00B06C31" w:rsidRDefault="00047FF7" w:rsidP="00A93507">
      <w:pPr>
        <w:spacing w:line="240" w:lineRule="auto"/>
        <w:ind w:left="720" w:hanging="720"/>
      </w:pPr>
      <w:r>
        <w:t xml:space="preserve">Walsh, P. D., L. J. T. White, C. Mbina, D. Idiata, Y. Mihindou, F. Maisels, </w:t>
      </w:r>
      <w:r w:rsidR="006D64A8">
        <w:t xml:space="preserve">and </w:t>
      </w:r>
      <w:r>
        <w:t xml:space="preserve">M. Thibault. 2001. Estimates of forest elephant abundance: projecting the relationship between precision and effort. </w:t>
      </w:r>
      <w:r>
        <w:rPr>
          <w:i/>
          <w:iCs/>
        </w:rPr>
        <w:t>Journal of Applied Ecology</w:t>
      </w:r>
      <w:r>
        <w:t xml:space="preserve"> 38(1): 217-228.</w:t>
      </w:r>
      <w:r w:rsidR="00B06C31">
        <w:br w:type="page"/>
      </w:r>
    </w:p>
    <w:p w14:paraId="722D13E7" w14:textId="0B12F297" w:rsidR="00690AC9" w:rsidRDefault="00B06C31" w:rsidP="00A93507">
      <w:pPr>
        <w:spacing w:line="240" w:lineRule="auto"/>
        <w:ind w:left="720" w:hanging="720"/>
      </w:pPr>
      <w:r>
        <w:rPr>
          <w:noProof/>
        </w:rPr>
        <w:lastRenderedPageBreak/>
        <w:drawing>
          <wp:inline distT="0" distB="0" distL="0" distR="0" wp14:anchorId="7CF16397" wp14:editId="538683FA">
            <wp:extent cx="5857875" cy="6896100"/>
            <wp:effectExtent l="0" t="0" r="9525" b="0"/>
            <wp:docPr id="211201947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9479" name="Picture 1" descr="A white and black list with black text&#10;&#10;AI-generated content may be incorrect."/>
                    <pic:cNvPicPr/>
                  </pic:nvPicPr>
                  <pic:blipFill>
                    <a:blip r:embed="rId17"/>
                    <a:stretch>
                      <a:fillRect/>
                    </a:stretch>
                  </pic:blipFill>
                  <pic:spPr>
                    <a:xfrm>
                      <a:off x="0" y="0"/>
                      <a:ext cx="5857875" cy="6896100"/>
                    </a:xfrm>
                    <a:prstGeom prst="rect">
                      <a:avLst/>
                    </a:prstGeom>
                  </pic:spPr>
                </pic:pic>
              </a:graphicData>
            </a:graphic>
          </wp:inline>
        </w:drawing>
      </w:r>
    </w:p>
    <w:sectPr w:rsidR="00690AC9" w:rsidSect="00E75CC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7-30T13:47:00Z" w:initials="BM">
    <w:p w14:paraId="79D6F655" w14:textId="77777777" w:rsidR="00EC46A6" w:rsidRDefault="00EC46A6" w:rsidP="00EC46A6">
      <w:pPr>
        <w:pStyle w:val="CommentText"/>
      </w:pPr>
      <w:r>
        <w:rPr>
          <w:rStyle w:val="CommentReference"/>
        </w:rPr>
        <w:annotationRef/>
      </w:r>
      <w:r>
        <w:t>This whole intro should be built out a bit more. Good to be concise but three pages seems quite tight</w:t>
      </w:r>
    </w:p>
  </w:comment>
  <w:comment w:id="2" w:author="Brian E McGreal" w:date="2026-07-27T13:17:00Z" w:initials="BM">
    <w:p w14:paraId="063F3EBA" w14:textId="77777777" w:rsidR="007A4D93" w:rsidRDefault="007A4D93" w:rsidP="007A4D93">
      <w:pPr>
        <w:pStyle w:val="CommentText"/>
      </w:pPr>
      <w:r>
        <w:rPr>
          <w:rStyle w:val="CommentReference"/>
        </w:rPr>
        <w:annotationRef/>
      </w:r>
      <w:r>
        <w:t>Is this right? Or do I have more now?</w:t>
      </w:r>
    </w:p>
  </w:comment>
  <w:comment w:id="1" w:author="Brian McGreal" w:date="2026-07-02T11:22:00Z" w:initials="BM">
    <w:p w14:paraId="2B1D8003" w14:textId="1560473B" w:rsidR="00FB6A38" w:rsidRDefault="00FB6A38">
      <w:pPr>
        <w:pStyle w:val="CommentText"/>
      </w:pPr>
      <w:r>
        <w:rPr>
          <w:rStyle w:val="CommentReference"/>
        </w:rPr>
        <w:annotationRef/>
      </w:r>
      <w:r>
        <w:t>Discuss specific hypotheses</w:t>
      </w:r>
    </w:p>
  </w:comment>
  <w:comment w:id="3" w:author="Brian E McGreal" w:date="2026-07-17T11:10:00Z" w:initials="BM">
    <w:p w14:paraId="1524EB08" w14:textId="77777777" w:rsidR="0027692A" w:rsidRDefault="0027692A" w:rsidP="0027692A">
      <w:pPr>
        <w:pStyle w:val="CommentText"/>
      </w:pPr>
      <w:r>
        <w:rPr>
          <w:rStyle w:val="CommentReference"/>
        </w:rPr>
        <w:annotationRef/>
      </w:r>
      <w:r>
        <w:t>Is this clear? To me? I’m not sure...</w:t>
      </w:r>
    </w:p>
  </w:comment>
  <w:comment w:id="4" w:author="Brian E McGreal" w:date="2026-07-17T11:14:00Z" w:initials="BM">
    <w:p w14:paraId="01E02D8D" w14:textId="77777777" w:rsidR="00AB7BC7" w:rsidRDefault="00AB7BC7" w:rsidP="00AB7BC7">
      <w:pPr>
        <w:pStyle w:val="CommentText"/>
      </w:pPr>
      <w:r>
        <w:rPr>
          <w:rStyle w:val="CommentReference"/>
        </w:rPr>
        <w:annotationRef/>
      </w:r>
      <w:r>
        <w:t>Should this be some appendix table?</w:t>
      </w:r>
    </w:p>
  </w:comment>
  <w:comment w:id="5" w:author="Brian E McGreal" w:date="2026-07-17T11:23:00Z" w:initials="BM">
    <w:p w14:paraId="467F35AA" w14:textId="77777777" w:rsidR="00090F73" w:rsidRDefault="00090F73" w:rsidP="00090F73">
      <w:pPr>
        <w:pStyle w:val="CommentText"/>
      </w:pPr>
      <w:r>
        <w:rPr>
          <w:rStyle w:val="CommentReference"/>
        </w:rPr>
        <w:annotationRef/>
      </w:r>
      <w:r>
        <w:t>This will have to be changed for submission to a journal. I guess I’ll just have to describe the MARSS model again. Can I just use the same text from the first chapter?</w:t>
      </w:r>
    </w:p>
  </w:comment>
  <w:comment w:id="6" w:author="Brian E McGreal" w:date="2026-07-27T13:41:00Z" w:initials="BM">
    <w:p w14:paraId="5901C526" w14:textId="77777777" w:rsidR="00BD0730" w:rsidRDefault="00BD0730" w:rsidP="00BD0730">
      <w:pPr>
        <w:pStyle w:val="CommentText"/>
      </w:pPr>
      <w:r>
        <w:rPr>
          <w:rStyle w:val="CommentReference"/>
        </w:rPr>
        <w:annotationRef/>
      </w:r>
      <w:r>
        <w:t>Or should I just describe the models again in each chapter?</w:t>
      </w:r>
    </w:p>
  </w:comment>
  <w:comment w:id="7" w:author="Brian E McGreal" w:date="2026-07-17T11:26:00Z" w:initials="BM">
    <w:p w14:paraId="04A509EB" w14:textId="77777777" w:rsidR="009B78F1" w:rsidRDefault="009B78F1" w:rsidP="009B78F1">
      <w:pPr>
        <w:pStyle w:val="CommentText"/>
      </w:pPr>
      <w:r>
        <w:rPr>
          <w:rStyle w:val="CommentReference"/>
        </w:rPr>
        <w:annotationRef/>
      </w:r>
      <w:r>
        <w:t>This is that thing. I think Sunny really wants this. Let’s be sure to point to the literature Mark shared too, like in the third sentence.</w:t>
      </w:r>
    </w:p>
  </w:comment>
  <w:comment w:id="8" w:author="Brian E McGreal" w:date="2026-07-17T11:37:00Z" w:initials="BM">
    <w:p w14:paraId="28B517AC" w14:textId="77777777" w:rsidR="007116CE" w:rsidRDefault="007116CE" w:rsidP="007116CE">
      <w:pPr>
        <w:pStyle w:val="CommentText"/>
      </w:pPr>
      <w:r>
        <w:rPr>
          <w:rStyle w:val="CommentReference"/>
        </w:rPr>
        <w:annotationRef/>
      </w:r>
      <w:r>
        <w:t>See and Holmes (2015)</w:t>
      </w:r>
    </w:p>
  </w:comment>
  <w:comment w:id="9" w:author="Brian E McGreal" w:date="2026-07-27T13:49:00Z" w:initials="BM">
    <w:p w14:paraId="63403A8C" w14:textId="77777777" w:rsidR="001B7EB1" w:rsidRDefault="001B7EB1" w:rsidP="001B7EB1">
      <w:pPr>
        <w:pStyle w:val="CommentText"/>
      </w:pPr>
      <w:r>
        <w:rPr>
          <w:rStyle w:val="CommentReference"/>
        </w:rPr>
        <w:annotationRef/>
      </w:r>
      <w:r>
        <w:t>Emphasize this</w:t>
      </w:r>
    </w:p>
  </w:comment>
  <w:comment w:id="10" w:author="Brian E McGreal" w:date="2026-07-27T13:49:00Z" w:initials="BM">
    <w:p w14:paraId="75FE68B8" w14:textId="77777777" w:rsidR="001B7EB1" w:rsidRDefault="001B7EB1" w:rsidP="001B7EB1">
      <w:pPr>
        <w:pStyle w:val="CommentText"/>
      </w:pPr>
      <w:r>
        <w:rPr>
          <w:rStyle w:val="CommentReference"/>
        </w:rPr>
        <w:annotationRef/>
      </w:r>
      <w:r>
        <w:t>Is this to avoid issues with colinearity?</w:t>
      </w:r>
    </w:p>
  </w:comment>
  <w:comment w:id="11" w:author="Brian E McGreal" w:date="2026-07-27T15:23:00Z" w:initials="BM">
    <w:p w14:paraId="77DEEB86" w14:textId="77777777" w:rsidR="00573756" w:rsidRDefault="00573756" w:rsidP="00573756">
      <w:pPr>
        <w:pStyle w:val="CommentText"/>
      </w:pPr>
      <w:r>
        <w:rPr>
          <w:rStyle w:val="CommentReference"/>
        </w:rPr>
        <w:annotationRef/>
      </w:r>
      <w:r>
        <w:t>Ultimately I need to pull a sharper snip of this equation</w:t>
      </w:r>
    </w:p>
  </w:comment>
  <w:comment w:id="12" w:author="Brian E McGreal" w:date="2026-07-17T12:05:00Z" w:initials="BM">
    <w:p w14:paraId="65A02074" w14:textId="77777777" w:rsidR="005F11BD" w:rsidRDefault="005F11BD" w:rsidP="005F11BD">
      <w:pPr>
        <w:pStyle w:val="CommentText"/>
      </w:pPr>
      <w:r>
        <w:rPr>
          <w:rStyle w:val="CommentReference"/>
        </w:rPr>
        <w:annotationRef/>
      </w:r>
      <w:r>
        <w:t>Check here</w:t>
      </w:r>
    </w:p>
  </w:comment>
  <w:comment w:id="13" w:author="Brian E McGreal" w:date="2026-07-30T13:44:00Z" w:initials="BM">
    <w:p w14:paraId="7C8C0792" w14:textId="77777777" w:rsidR="00EC46A6" w:rsidRDefault="00EC46A6" w:rsidP="00EC46A6">
      <w:pPr>
        <w:pStyle w:val="CommentText"/>
      </w:pPr>
      <w:r>
        <w:rPr>
          <w:rStyle w:val="CommentReference"/>
        </w:rPr>
        <w:annotationRef/>
      </w:r>
      <w:r>
        <w:t>Grammar too</w:t>
      </w:r>
    </w:p>
  </w:comment>
  <w:comment w:id="14" w:author="Brian E McGreal" w:date="2026-07-17T12:05:00Z" w:initials="BM">
    <w:p w14:paraId="6E97623B" w14:textId="77777777" w:rsidR="005F11BD" w:rsidRDefault="005F11BD" w:rsidP="005F11BD">
      <w:pPr>
        <w:pStyle w:val="CommentText"/>
      </w:pPr>
      <w:r>
        <w:rPr>
          <w:rStyle w:val="CommentReference"/>
        </w:rPr>
        <w:annotationRef/>
      </w:r>
      <w:r>
        <w:t>And here</w:t>
      </w:r>
    </w:p>
  </w:comment>
  <w:comment w:id="15" w:author="Brian E McGreal" w:date="2026-07-30T13:44:00Z" w:initials="BM">
    <w:p w14:paraId="7F849C57" w14:textId="77777777" w:rsidR="00EC46A6" w:rsidRDefault="00EC46A6" w:rsidP="00EC46A6">
      <w:pPr>
        <w:pStyle w:val="CommentText"/>
      </w:pPr>
      <w:r>
        <w:rPr>
          <w:rStyle w:val="CommentReference"/>
        </w:rPr>
        <w:annotationRef/>
      </w:r>
      <w:r>
        <w:t>This should be different..</w:t>
      </w:r>
    </w:p>
  </w:comment>
  <w:comment w:id="16" w:author="Brian E McGreal" w:date="2026-07-17T12:06:00Z" w:initials="BM">
    <w:p w14:paraId="726CF505" w14:textId="77777777" w:rsidR="005F11BD" w:rsidRDefault="005F11BD" w:rsidP="005F11BD">
      <w:pPr>
        <w:pStyle w:val="CommentText"/>
      </w:pPr>
      <w:r>
        <w:rPr>
          <w:rStyle w:val="CommentReference"/>
        </w:rPr>
        <w:annotationRef/>
      </w:r>
      <w:r>
        <w:t>Revisions necessary here</w:t>
      </w:r>
    </w:p>
  </w:comment>
  <w:comment w:id="17" w:author="Brian E McGreal" w:date="2026-07-17T12:06:00Z" w:initials="BM">
    <w:p w14:paraId="7BA63462" w14:textId="77777777" w:rsidR="005F11BD" w:rsidRDefault="005F11BD" w:rsidP="005F11BD">
      <w:pPr>
        <w:pStyle w:val="CommentText"/>
      </w:pPr>
      <w:r>
        <w:rPr>
          <w:rStyle w:val="CommentReference"/>
        </w:rPr>
        <w:annotationRef/>
      </w:r>
      <w:r>
        <w:t>This no longer works</w:t>
      </w:r>
    </w:p>
  </w:comment>
  <w:comment w:id="18" w:author="Brian McGreal" w:date="2026-08-03T16:08:00Z" w:initials="BM">
    <w:p w14:paraId="3B707BDB" w14:textId="108A95F9" w:rsidR="00EE07EC" w:rsidRDefault="00EE07EC">
      <w:pPr>
        <w:pStyle w:val="CommentText"/>
      </w:pPr>
      <w:r>
        <w:rPr>
          <w:rStyle w:val="CommentReference"/>
        </w:rPr>
        <w:annotationRef/>
      </w:r>
      <w:r>
        <w:t>Must create a map which shows total over/under counting by population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6F655" w15:done="0"/>
  <w15:commentEx w15:paraId="063F3EBA" w15:done="0"/>
  <w15:commentEx w15:paraId="2B1D8003" w15:done="0"/>
  <w15:commentEx w15:paraId="1524EB08" w15:done="0"/>
  <w15:commentEx w15:paraId="01E02D8D" w15:done="0"/>
  <w15:commentEx w15:paraId="467F35AA" w15:done="0"/>
  <w15:commentEx w15:paraId="5901C526" w15:paraIdParent="467F35AA" w15:done="0"/>
  <w15:commentEx w15:paraId="04A509EB" w15:done="0"/>
  <w15:commentEx w15:paraId="28B517AC" w15:paraIdParent="04A509EB" w15:done="0"/>
  <w15:commentEx w15:paraId="63403A8C" w15:done="0"/>
  <w15:commentEx w15:paraId="75FE68B8" w15:paraIdParent="63403A8C" w15:done="0"/>
  <w15:commentEx w15:paraId="77DEEB86" w15:done="0"/>
  <w15:commentEx w15:paraId="65A02074" w15:done="0"/>
  <w15:commentEx w15:paraId="7C8C0792" w15:paraIdParent="65A02074" w15:done="0"/>
  <w15:commentEx w15:paraId="6E97623B" w15:done="0"/>
  <w15:commentEx w15:paraId="7F849C57" w15:paraIdParent="6E97623B" w15:done="0"/>
  <w15:commentEx w15:paraId="726CF505" w15:done="0"/>
  <w15:commentEx w15:paraId="7BA63462" w15:done="0"/>
  <w15:commentEx w15:paraId="3B707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28EC73" w16cex:dateUtc="2026-07-30T20:47:00Z"/>
  <w16cex:commentExtensible w16cex:durableId="2BE79D5D" w16cex:dateUtc="2026-07-27T20:17:00Z"/>
  <w16cex:commentExtensible w16cex:durableId="7DD56FD2" w16cex:dateUtc="2026-07-02T18:22:00Z"/>
  <w16cex:commentExtensible w16cex:durableId="702AAF16" w16cex:dateUtc="2026-07-17T18:10:00Z"/>
  <w16cex:commentExtensible w16cex:durableId="5450737B" w16cex:dateUtc="2026-07-17T18:14:00Z"/>
  <w16cex:commentExtensible w16cex:durableId="5D21D7CB" w16cex:dateUtc="2026-07-17T18:23:00Z"/>
  <w16cex:commentExtensible w16cex:durableId="3A47DBAF" w16cex:dateUtc="2026-07-27T20:41:00Z"/>
  <w16cex:commentExtensible w16cex:durableId="675C5A72" w16cex:dateUtc="2026-07-17T18:26:00Z"/>
  <w16cex:commentExtensible w16cex:durableId="4C4FC20F" w16cex:dateUtc="2026-07-17T18:37:00Z"/>
  <w16cex:commentExtensible w16cex:durableId="34CC6E44" w16cex:dateUtc="2026-07-27T20:49:00Z"/>
  <w16cex:commentExtensible w16cex:durableId="1C2E90A1" w16cex:dateUtc="2026-07-27T20:49:00Z"/>
  <w16cex:commentExtensible w16cex:durableId="7A6E9AAD" w16cex:dateUtc="2026-07-27T22:23:00Z"/>
  <w16cex:commentExtensible w16cex:durableId="04B5956F" w16cex:dateUtc="2026-07-17T19:05:00Z"/>
  <w16cex:commentExtensible w16cex:durableId="5E7161ED" w16cex:dateUtc="2026-07-30T20:44:00Z"/>
  <w16cex:commentExtensible w16cex:durableId="56F9D336" w16cex:dateUtc="2026-07-17T19:05:00Z"/>
  <w16cex:commentExtensible w16cex:durableId="2D9D3C82" w16cex:dateUtc="2026-07-30T20:44:00Z"/>
  <w16cex:commentExtensible w16cex:durableId="4F2A46A5" w16cex:dateUtc="2026-07-17T19:06:00Z"/>
  <w16cex:commentExtensible w16cex:durableId="21826B4B" w16cex:dateUtc="2026-07-17T19:06:00Z"/>
  <w16cex:commentExtensible w16cex:durableId="6B2BBDF4" w16cex:dateUtc="2026-08-03T2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6F655" w16cid:durableId="7028EC73"/>
  <w16cid:commentId w16cid:paraId="063F3EBA" w16cid:durableId="2BE79D5D"/>
  <w16cid:commentId w16cid:paraId="2B1D8003" w16cid:durableId="7DD56FD2"/>
  <w16cid:commentId w16cid:paraId="1524EB08" w16cid:durableId="702AAF16"/>
  <w16cid:commentId w16cid:paraId="01E02D8D" w16cid:durableId="5450737B"/>
  <w16cid:commentId w16cid:paraId="467F35AA" w16cid:durableId="5D21D7CB"/>
  <w16cid:commentId w16cid:paraId="5901C526" w16cid:durableId="3A47DBAF"/>
  <w16cid:commentId w16cid:paraId="04A509EB" w16cid:durableId="675C5A72"/>
  <w16cid:commentId w16cid:paraId="28B517AC" w16cid:durableId="4C4FC20F"/>
  <w16cid:commentId w16cid:paraId="63403A8C" w16cid:durableId="34CC6E44"/>
  <w16cid:commentId w16cid:paraId="75FE68B8" w16cid:durableId="1C2E90A1"/>
  <w16cid:commentId w16cid:paraId="77DEEB86" w16cid:durableId="7A6E9AAD"/>
  <w16cid:commentId w16cid:paraId="65A02074" w16cid:durableId="04B5956F"/>
  <w16cid:commentId w16cid:paraId="7C8C0792" w16cid:durableId="5E7161ED"/>
  <w16cid:commentId w16cid:paraId="6E97623B" w16cid:durableId="56F9D336"/>
  <w16cid:commentId w16cid:paraId="7F849C57" w16cid:durableId="2D9D3C82"/>
  <w16cid:commentId w16cid:paraId="726CF505" w16cid:durableId="4F2A46A5"/>
  <w16cid:commentId w16cid:paraId="7BA63462" w16cid:durableId="21826B4B"/>
  <w16cid:commentId w16cid:paraId="3B707BDB" w16cid:durableId="6B2BBD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20B6"/>
    <w:rsid w:val="00006C70"/>
    <w:rsid w:val="00016271"/>
    <w:rsid w:val="0002450B"/>
    <w:rsid w:val="00025C81"/>
    <w:rsid w:val="00026E9A"/>
    <w:rsid w:val="000351F7"/>
    <w:rsid w:val="00047FF7"/>
    <w:rsid w:val="00064436"/>
    <w:rsid w:val="00087DF8"/>
    <w:rsid w:val="00090F73"/>
    <w:rsid w:val="00093145"/>
    <w:rsid w:val="000969EE"/>
    <w:rsid w:val="00096DB2"/>
    <w:rsid w:val="000B2866"/>
    <w:rsid w:val="000B7057"/>
    <w:rsid w:val="000C332F"/>
    <w:rsid w:val="000C3781"/>
    <w:rsid w:val="000E1A02"/>
    <w:rsid w:val="000E7E0D"/>
    <w:rsid w:val="000F0FA2"/>
    <w:rsid w:val="0010361F"/>
    <w:rsid w:val="001069AF"/>
    <w:rsid w:val="0013461D"/>
    <w:rsid w:val="00135D72"/>
    <w:rsid w:val="00141ED9"/>
    <w:rsid w:val="001457CE"/>
    <w:rsid w:val="0015045B"/>
    <w:rsid w:val="00156918"/>
    <w:rsid w:val="00157B89"/>
    <w:rsid w:val="0016546C"/>
    <w:rsid w:val="00187228"/>
    <w:rsid w:val="00190D2F"/>
    <w:rsid w:val="001A2E8F"/>
    <w:rsid w:val="001A400C"/>
    <w:rsid w:val="001B02A3"/>
    <w:rsid w:val="001B3644"/>
    <w:rsid w:val="001B75D2"/>
    <w:rsid w:val="001B7EB1"/>
    <w:rsid w:val="001E5C3E"/>
    <w:rsid w:val="002219EA"/>
    <w:rsid w:val="002243C1"/>
    <w:rsid w:val="00225C27"/>
    <w:rsid w:val="0023499A"/>
    <w:rsid w:val="00240F83"/>
    <w:rsid w:val="00242804"/>
    <w:rsid w:val="00244969"/>
    <w:rsid w:val="002477DE"/>
    <w:rsid w:val="00247A6B"/>
    <w:rsid w:val="00257B5F"/>
    <w:rsid w:val="002726AA"/>
    <w:rsid w:val="00275026"/>
    <w:rsid w:val="00276236"/>
    <w:rsid w:val="0027692A"/>
    <w:rsid w:val="00284D54"/>
    <w:rsid w:val="002875E6"/>
    <w:rsid w:val="002902C7"/>
    <w:rsid w:val="00294A2D"/>
    <w:rsid w:val="00297127"/>
    <w:rsid w:val="002A0BE5"/>
    <w:rsid w:val="002A3B5D"/>
    <w:rsid w:val="002B19CC"/>
    <w:rsid w:val="002B445C"/>
    <w:rsid w:val="002C5EA7"/>
    <w:rsid w:val="002D0155"/>
    <w:rsid w:val="002F397B"/>
    <w:rsid w:val="002F4262"/>
    <w:rsid w:val="002F5D1A"/>
    <w:rsid w:val="003269AD"/>
    <w:rsid w:val="00343103"/>
    <w:rsid w:val="00344E76"/>
    <w:rsid w:val="00345C66"/>
    <w:rsid w:val="00363DB7"/>
    <w:rsid w:val="00371FE7"/>
    <w:rsid w:val="003729A3"/>
    <w:rsid w:val="003A0DD4"/>
    <w:rsid w:val="003C1DCC"/>
    <w:rsid w:val="003C27B5"/>
    <w:rsid w:val="003C4F26"/>
    <w:rsid w:val="003E6621"/>
    <w:rsid w:val="00406F91"/>
    <w:rsid w:val="00420F90"/>
    <w:rsid w:val="0043005F"/>
    <w:rsid w:val="0043122C"/>
    <w:rsid w:val="00434549"/>
    <w:rsid w:val="004515D6"/>
    <w:rsid w:val="00451B18"/>
    <w:rsid w:val="00464245"/>
    <w:rsid w:val="004657A3"/>
    <w:rsid w:val="00465C9D"/>
    <w:rsid w:val="004A06FB"/>
    <w:rsid w:val="004C29CA"/>
    <w:rsid w:val="004D0EEA"/>
    <w:rsid w:val="004D5377"/>
    <w:rsid w:val="004D577C"/>
    <w:rsid w:val="004E682F"/>
    <w:rsid w:val="004F7865"/>
    <w:rsid w:val="0050155E"/>
    <w:rsid w:val="00502CE4"/>
    <w:rsid w:val="00502D3F"/>
    <w:rsid w:val="0050776B"/>
    <w:rsid w:val="005220F8"/>
    <w:rsid w:val="00523A07"/>
    <w:rsid w:val="00534A38"/>
    <w:rsid w:val="0054048B"/>
    <w:rsid w:val="00543C6C"/>
    <w:rsid w:val="005440D0"/>
    <w:rsid w:val="005510AE"/>
    <w:rsid w:val="00562C10"/>
    <w:rsid w:val="0056462E"/>
    <w:rsid w:val="005711E6"/>
    <w:rsid w:val="00573756"/>
    <w:rsid w:val="00575570"/>
    <w:rsid w:val="00583AA1"/>
    <w:rsid w:val="005915DE"/>
    <w:rsid w:val="00592818"/>
    <w:rsid w:val="005B088E"/>
    <w:rsid w:val="005B3E86"/>
    <w:rsid w:val="005B45F1"/>
    <w:rsid w:val="005C047D"/>
    <w:rsid w:val="005C5D96"/>
    <w:rsid w:val="005C7C71"/>
    <w:rsid w:val="005F11BD"/>
    <w:rsid w:val="006055AC"/>
    <w:rsid w:val="006108AA"/>
    <w:rsid w:val="00613DCC"/>
    <w:rsid w:val="00615368"/>
    <w:rsid w:val="00626BFF"/>
    <w:rsid w:val="00672622"/>
    <w:rsid w:val="0067376D"/>
    <w:rsid w:val="00683692"/>
    <w:rsid w:val="00690236"/>
    <w:rsid w:val="00690AC9"/>
    <w:rsid w:val="006B09CA"/>
    <w:rsid w:val="006B5F13"/>
    <w:rsid w:val="006C6484"/>
    <w:rsid w:val="006D64A8"/>
    <w:rsid w:val="006E4EB8"/>
    <w:rsid w:val="0070271B"/>
    <w:rsid w:val="007116CE"/>
    <w:rsid w:val="00721F3A"/>
    <w:rsid w:val="00727126"/>
    <w:rsid w:val="00730B6E"/>
    <w:rsid w:val="00743FE1"/>
    <w:rsid w:val="00752C5D"/>
    <w:rsid w:val="00752C65"/>
    <w:rsid w:val="00763BB2"/>
    <w:rsid w:val="00766C9C"/>
    <w:rsid w:val="00770080"/>
    <w:rsid w:val="00787508"/>
    <w:rsid w:val="007A4D93"/>
    <w:rsid w:val="007B06CF"/>
    <w:rsid w:val="007B6527"/>
    <w:rsid w:val="007C102A"/>
    <w:rsid w:val="007C421F"/>
    <w:rsid w:val="007D4E89"/>
    <w:rsid w:val="007E38E9"/>
    <w:rsid w:val="007E7CED"/>
    <w:rsid w:val="007F3C68"/>
    <w:rsid w:val="007F5A9C"/>
    <w:rsid w:val="007F74F1"/>
    <w:rsid w:val="00801F00"/>
    <w:rsid w:val="00813F57"/>
    <w:rsid w:val="00814FCA"/>
    <w:rsid w:val="008236D7"/>
    <w:rsid w:val="00827720"/>
    <w:rsid w:val="0084016E"/>
    <w:rsid w:val="00845D21"/>
    <w:rsid w:val="0085568B"/>
    <w:rsid w:val="00861DB0"/>
    <w:rsid w:val="00873469"/>
    <w:rsid w:val="0087694C"/>
    <w:rsid w:val="008771E2"/>
    <w:rsid w:val="008776F4"/>
    <w:rsid w:val="00890187"/>
    <w:rsid w:val="00893916"/>
    <w:rsid w:val="0089551E"/>
    <w:rsid w:val="008B1433"/>
    <w:rsid w:val="008B3CD2"/>
    <w:rsid w:val="008C0ABD"/>
    <w:rsid w:val="008C62FC"/>
    <w:rsid w:val="008D306D"/>
    <w:rsid w:val="008D4EC0"/>
    <w:rsid w:val="008E2E2D"/>
    <w:rsid w:val="008E7D2B"/>
    <w:rsid w:val="008F21BB"/>
    <w:rsid w:val="009368F8"/>
    <w:rsid w:val="00973BDF"/>
    <w:rsid w:val="00974AB5"/>
    <w:rsid w:val="009A09AD"/>
    <w:rsid w:val="009B0CF4"/>
    <w:rsid w:val="009B78F1"/>
    <w:rsid w:val="009C2209"/>
    <w:rsid w:val="009E609B"/>
    <w:rsid w:val="009F0123"/>
    <w:rsid w:val="009F0BCF"/>
    <w:rsid w:val="009F226D"/>
    <w:rsid w:val="009F331E"/>
    <w:rsid w:val="009F62F6"/>
    <w:rsid w:val="00A07031"/>
    <w:rsid w:val="00A156CB"/>
    <w:rsid w:val="00A20C4E"/>
    <w:rsid w:val="00A259DD"/>
    <w:rsid w:val="00A346A3"/>
    <w:rsid w:val="00A60FB6"/>
    <w:rsid w:val="00A82516"/>
    <w:rsid w:val="00A93507"/>
    <w:rsid w:val="00AA764C"/>
    <w:rsid w:val="00AA7E4F"/>
    <w:rsid w:val="00AB0BC1"/>
    <w:rsid w:val="00AB2D1A"/>
    <w:rsid w:val="00AB7BC7"/>
    <w:rsid w:val="00AC5363"/>
    <w:rsid w:val="00AD202E"/>
    <w:rsid w:val="00AD5CDC"/>
    <w:rsid w:val="00AF7DED"/>
    <w:rsid w:val="00B063F4"/>
    <w:rsid w:val="00B06B49"/>
    <w:rsid w:val="00B06C31"/>
    <w:rsid w:val="00B132D9"/>
    <w:rsid w:val="00B26193"/>
    <w:rsid w:val="00B447E7"/>
    <w:rsid w:val="00B466ED"/>
    <w:rsid w:val="00B4756B"/>
    <w:rsid w:val="00B53121"/>
    <w:rsid w:val="00B53A9A"/>
    <w:rsid w:val="00B57F96"/>
    <w:rsid w:val="00B64193"/>
    <w:rsid w:val="00B81603"/>
    <w:rsid w:val="00BB49EA"/>
    <w:rsid w:val="00BB61A0"/>
    <w:rsid w:val="00BC6854"/>
    <w:rsid w:val="00BD0730"/>
    <w:rsid w:val="00C037A6"/>
    <w:rsid w:val="00C2452E"/>
    <w:rsid w:val="00C2736D"/>
    <w:rsid w:val="00C83D64"/>
    <w:rsid w:val="00C935A6"/>
    <w:rsid w:val="00C96C1A"/>
    <w:rsid w:val="00CA18F7"/>
    <w:rsid w:val="00CA473B"/>
    <w:rsid w:val="00CA604C"/>
    <w:rsid w:val="00CB780C"/>
    <w:rsid w:val="00CC44B1"/>
    <w:rsid w:val="00CC5605"/>
    <w:rsid w:val="00CC6BA6"/>
    <w:rsid w:val="00CD5586"/>
    <w:rsid w:val="00CD7815"/>
    <w:rsid w:val="00D12E95"/>
    <w:rsid w:val="00D21311"/>
    <w:rsid w:val="00D2537C"/>
    <w:rsid w:val="00D27369"/>
    <w:rsid w:val="00D348B0"/>
    <w:rsid w:val="00D55635"/>
    <w:rsid w:val="00D746E9"/>
    <w:rsid w:val="00D92812"/>
    <w:rsid w:val="00D92F04"/>
    <w:rsid w:val="00DA6B0A"/>
    <w:rsid w:val="00DC1A91"/>
    <w:rsid w:val="00DC3ADA"/>
    <w:rsid w:val="00DD00D3"/>
    <w:rsid w:val="00DD62B7"/>
    <w:rsid w:val="00DE1FAA"/>
    <w:rsid w:val="00DE25A3"/>
    <w:rsid w:val="00DE6959"/>
    <w:rsid w:val="00DE75BD"/>
    <w:rsid w:val="00DF1FE0"/>
    <w:rsid w:val="00DF7D77"/>
    <w:rsid w:val="00E1390A"/>
    <w:rsid w:val="00E16B30"/>
    <w:rsid w:val="00E436E0"/>
    <w:rsid w:val="00E455EB"/>
    <w:rsid w:val="00E46F58"/>
    <w:rsid w:val="00E519D6"/>
    <w:rsid w:val="00E66FA7"/>
    <w:rsid w:val="00E7100D"/>
    <w:rsid w:val="00E75CC5"/>
    <w:rsid w:val="00E81F39"/>
    <w:rsid w:val="00E84FB0"/>
    <w:rsid w:val="00E959DA"/>
    <w:rsid w:val="00EB0932"/>
    <w:rsid w:val="00EC46A6"/>
    <w:rsid w:val="00ED1CF0"/>
    <w:rsid w:val="00EE07EC"/>
    <w:rsid w:val="00EF6956"/>
    <w:rsid w:val="00F33D81"/>
    <w:rsid w:val="00F423FA"/>
    <w:rsid w:val="00F43DF8"/>
    <w:rsid w:val="00F45A40"/>
    <w:rsid w:val="00F5671F"/>
    <w:rsid w:val="00F67DB3"/>
    <w:rsid w:val="00F70106"/>
    <w:rsid w:val="00F73C83"/>
    <w:rsid w:val="00F74EA0"/>
    <w:rsid w:val="00F80C72"/>
    <w:rsid w:val="00F85DB1"/>
    <w:rsid w:val="00F90C82"/>
    <w:rsid w:val="00F9155B"/>
    <w:rsid w:val="00F92390"/>
    <w:rsid w:val="00F97D86"/>
    <w:rsid w:val="00FB6A38"/>
    <w:rsid w:val="00FC6FAE"/>
    <w:rsid w:val="00FD5458"/>
    <w:rsid w:val="00FD704B"/>
    <w:rsid w:val="00FE7FE9"/>
    <w:rsid w:val="00FF0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03B1D2D6-E29B-4B93-A7A6-66C492B0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 w:type="character" w:styleId="LineNumber">
    <w:name w:val="line number"/>
    <w:basedOn w:val="DefaultParagraphFont"/>
    <w:uiPriority w:val="99"/>
    <w:semiHidden/>
    <w:unhideWhenUsed/>
    <w:rsid w:val="00B0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fisheries.noaa.gov/national/endangered-species-conservation/listing-species-under-endangered-species-act%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isheries.noaa.gov/species/pacific-salmon-and-steelhead/esa-protected-species"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061F-D849-4105-A727-4FE9186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5952</TotalTime>
  <Pages>18</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23</cp:revision>
  <cp:lastPrinted>2025-09-08T20:34:00Z</cp:lastPrinted>
  <dcterms:created xsi:type="dcterms:W3CDTF">2025-10-17T18:54:00Z</dcterms:created>
  <dcterms:modified xsi:type="dcterms:W3CDTF">2026-08-04T19:34:00Z</dcterms:modified>
</cp:coreProperties>
</file>