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0C3C1B05"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commentRangeStart w:id="1"/>
      <w:r w:rsidR="00EF04C2">
        <w:t xml:space="preserve">An imprecise survey method can still be of use depending on the application, but it is crucial that scientists and wildlife managers understand the ways in which a method or suite of methods is imprecise when evaluating data collected </w:t>
      </w:r>
      <w:r w:rsidR="005947FF">
        <w:t>and drawing conclusions.</w:t>
      </w:r>
      <w:commentRangeEnd w:id="1"/>
      <w:r w:rsidR="006B0B65">
        <w:rPr>
          <w:rStyle w:val="CommentReference"/>
          <w:sz w:val="24"/>
          <w:szCs w:val="24"/>
        </w:rPr>
        <w:commentReference w:id="1"/>
      </w:r>
    </w:p>
    <w:p w14:paraId="0759501B" w14:textId="6DB79C87" w:rsidR="00F97D86" w:rsidRDefault="00760A39" w:rsidP="00EE4DE0">
      <w:pPr>
        <w:spacing w:after="0" w:line="480" w:lineRule="auto"/>
        <w:ind w:firstLine="720"/>
      </w:pPr>
      <w:r>
        <w:lastRenderedPageBreak/>
        <w:t>Pacific salmon (</w:t>
      </w:r>
      <w:r w:rsidRPr="005915DE">
        <w:rPr>
          <w:i/>
          <w:iCs/>
        </w:rPr>
        <w:t>Oncorhynchus spp.</w:t>
      </w:r>
      <w:r>
        <w:t xml:space="preserve">) and steelhead trout </w:t>
      </w:r>
      <w:r w:rsidRPr="005915DE">
        <w:rPr>
          <w:rFonts w:cstheme="minorHAnsi"/>
          <w:color w:val="202122"/>
          <w:shd w:val="clear" w:color="auto" w:fill="FFFFFF"/>
        </w:rPr>
        <w:t>(</w:t>
      </w:r>
      <w:r w:rsidRPr="005915DE">
        <w:rPr>
          <w:i/>
          <w:iCs/>
        </w:rPr>
        <w:t>Oncorhynchus</w:t>
      </w:r>
      <w:r w:rsidRPr="005915DE">
        <w:rPr>
          <w:rFonts w:cstheme="minorHAnsi"/>
          <w:i/>
          <w:iCs/>
          <w:color w:val="202122"/>
          <w:shd w:val="clear" w:color="auto" w:fill="FFFFFF"/>
        </w:rPr>
        <w:t xml:space="preserve"> mykiss</w:t>
      </w:r>
      <w:r w:rsidRPr="005915DE">
        <w:rPr>
          <w:rFonts w:cstheme="minorHAnsi"/>
          <w:color w:val="202122"/>
          <w:shd w:val="clear" w:color="auto" w:fill="FFFFFF"/>
        </w:rP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 as</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commentRangeStart w:id="2"/>
      <w:r w:rsidR="002F5D1A">
        <w:t>(ESUs)</w:t>
      </w:r>
      <w:r w:rsidR="004729F3">
        <w:t xml:space="preserve">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w:t>
      </w:r>
      <w:commentRangeEnd w:id="2"/>
      <w:r w:rsidR="00C26E3D">
        <w:rPr>
          <w:rStyle w:val="CommentReference"/>
          <w:sz w:val="24"/>
          <w:szCs w:val="24"/>
        </w:rPr>
        <w:commentReference w:id="2"/>
      </w:r>
      <w:r w:rsidR="00845D21">
        <w:t>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commentRangeStart w:id="3"/>
      <w:commentRangeStart w:id="4"/>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assessments.</w:t>
      </w:r>
      <w:commentRangeEnd w:id="3"/>
      <w:r w:rsidR="004551F5">
        <w:rPr>
          <w:rStyle w:val="CommentReference"/>
          <w:sz w:val="24"/>
          <w:szCs w:val="24"/>
        </w:rPr>
        <w:commentReference w:id="3"/>
      </w:r>
      <w:commentRangeEnd w:id="4"/>
      <w:r w:rsidR="00C26E3D">
        <w:rPr>
          <w:rStyle w:val="CommentReference"/>
          <w:sz w:val="24"/>
          <w:szCs w:val="24"/>
        </w:rPr>
        <w:commentReference w:id="4"/>
      </w:r>
      <w:r w:rsidR="00845D21">
        <w:t xml:space="preserve"> </w:t>
      </w:r>
    </w:p>
    <w:p w14:paraId="3626C864" w14:textId="60A63EF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w:t>
      </w:r>
      <w:r w:rsidR="00047FF7">
        <w:lastRenderedPageBreak/>
        <w:t>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it may be </w:t>
      </w:r>
      <w:r w:rsidR="002B445C">
        <w:t>corrected</w:t>
      </w:r>
      <w:r w:rsidR="00752C5D">
        <w:t xml:space="preserve"> </w:t>
      </w:r>
      <w:r w:rsidR="008F124F">
        <w:t>if the offset is known in order</w:t>
      </w:r>
      <w:r w:rsidR="00752C5D">
        <w:t xml:space="preserve"> </w:t>
      </w:r>
      <w:r w:rsidR="002B445C">
        <w:t>to</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w:t>
      </w:r>
      <w:r>
        <w:lastRenderedPageBreak/>
        <w:t xml:space="preserve">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1112507E"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5"/>
      <w:commentRangeStart w:id="6"/>
      <w:r>
        <w:t xml:space="preserve">directly impacts the ability to detect changes throughout time, as large confidence intervals may obscure shifting abundance regimes (Vallecillo et al. 2021). </w:t>
      </w:r>
      <w:commentRangeEnd w:id="5"/>
      <w:r w:rsidR="00B95C5F">
        <w:rPr>
          <w:rStyle w:val="CommentReference"/>
          <w:sz w:val="24"/>
          <w:szCs w:val="24"/>
        </w:rPr>
        <w:commentReference w:id="5"/>
      </w:r>
      <w:commentRangeEnd w:id="6"/>
      <w:r w:rsidR="00997628">
        <w:rPr>
          <w:rStyle w:val="CommentReference"/>
          <w:sz w:val="24"/>
          <w:szCs w:val="24"/>
        </w:rPr>
        <w:commentReference w:id="6"/>
      </w:r>
      <w:r>
        <w:t>This work will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w:t>
      </w:r>
      <w:r w:rsidR="00B95C5F">
        <w:lastRenderedPageBreak/>
        <w:t xml:space="preserve">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w:t>
      </w:r>
      <w:r w:rsidR="00343103">
        <w:lastRenderedPageBreak/>
        <w:t>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unbiased underlying trends in abundance requires an approach capable of distinguishing between the two. </w:t>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7"/>
      <w:r w:rsidRPr="00390F9D">
        <w:rPr>
          <w:b/>
          <w:bCs/>
        </w:rPr>
        <w:t>MARSS M</w:t>
      </w:r>
      <w:r>
        <w:rPr>
          <w:b/>
          <w:bCs/>
        </w:rPr>
        <w:t>odels</w:t>
      </w:r>
      <w:commentRangeEnd w:id="7"/>
      <w:r w:rsidRPr="00390F9D">
        <w:rPr>
          <w:rStyle w:val="CommentReference"/>
          <w:b/>
          <w:bCs/>
          <w:sz w:val="24"/>
          <w:szCs w:val="24"/>
        </w:rPr>
        <w:commentReference w:id="7"/>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77777777" w:rsidR="009E6532" w:rsidRDefault="009E6532" w:rsidP="009E6532">
      <w:pPr>
        <w:spacing w:after="0" w:line="480" w:lineRule="auto"/>
      </w:pPr>
      <w:r>
        <w:t>between these unobserved states and the observed data and captures error resulting from imperfect detection. The observation equation is generically formulated as follows:</w:t>
      </w:r>
    </w:p>
    <w:p w14:paraId="4E97506A" w14:textId="77777777"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B7CFD26" w14:textId="1DF4DE1B" w:rsidR="00452734" w:rsidRDefault="009E6532" w:rsidP="009E6532">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p>
    <w:p w14:paraId="0BFD97F5" w14:textId="0EDFD699" w:rsidR="00452734" w:rsidRDefault="006B00EA" w:rsidP="00452734">
      <w:pPr>
        <w:spacing w:after="0" w:line="480" w:lineRule="auto"/>
      </w:pPr>
      <w:r>
        <w:rPr>
          <w:noProof/>
        </w:rPr>
        <w:lastRenderedPageBreak/>
        <w:drawing>
          <wp:inline distT="0" distB="0" distL="0" distR="0" wp14:anchorId="06016130" wp14:editId="5958E196">
            <wp:extent cx="8059479" cy="5274108"/>
            <wp:effectExtent l="0" t="0" r="0" b="3175"/>
            <wp:docPr id="181193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6839" name=""/>
                    <pic:cNvPicPr/>
                  </pic:nvPicPr>
                  <pic:blipFill>
                    <a:blip r:embed="rId10"/>
                    <a:stretch>
                      <a:fillRect/>
                    </a:stretch>
                  </pic:blipFill>
                  <pic:spPr>
                    <a:xfrm>
                      <a:off x="0" y="0"/>
                      <a:ext cx="8070614" cy="5281395"/>
                    </a:xfrm>
                    <a:prstGeom prst="rect">
                      <a:avLst/>
                    </a:prstGeom>
                  </pic:spPr>
                </pic:pic>
              </a:graphicData>
            </a:graphic>
          </wp:inline>
        </w:drawing>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8"/>
      <w:commentRangeStart w:id="9"/>
      <w:commentRangeStart w:id="10"/>
      <w:r w:rsidRPr="005915DE">
        <w:rPr>
          <w:i/>
          <w:iCs/>
          <w:sz w:val="20"/>
          <w:szCs w:val="20"/>
        </w:rPr>
        <w:t xml:space="preserve">survey methods </w:t>
      </w:r>
      <w:commentRangeEnd w:id="8"/>
      <w:r w:rsidRPr="005915DE">
        <w:rPr>
          <w:rStyle w:val="CommentReference"/>
          <w:i/>
          <w:iCs/>
          <w:sz w:val="20"/>
          <w:szCs w:val="20"/>
        </w:rPr>
        <w:commentReference w:id="8"/>
      </w:r>
      <w:commentRangeEnd w:id="9"/>
      <w:r w:rsidR="00967E52" w:rsidRPr="005915DE">
        <w:rPr>
          <w:rStyle w:val="CommentReference"/>
          <w:i/>
          <w:iCs/>
          <w:sz w:val="20"/>
          <w:szCs w:val="20"/>
        </w:rPr>
        <w:commentReference w:id="9"/>
      </w:r>
      <w:commentRangeEnd w:id="10"/>
      <w:r w:rsidR="00834E44" w:rsidRPr="005915DE">
        <w:rPr>
          <w:rStyle w:val="CommentReference"/>
          <w:i/>
          <w:iCs/>
          <w:sz w:val="20"/>
          <w:szCs w:val="20"/>
        </w:rPr>
        <w:commentReference w:id="10"/>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66D1E523" w14:textId="7AE41B29" w:rsidR="00564FE5" w:rsidRDefault="00564FE5" w:rsidP="00564FE5">
      <w:pPr>
        <w:spacing w:after="0" w:line="480" w:lineRule="auto"/>
      </w:pPr>
      <w:r>
        <w:t xml:space="preserve">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lastRenderedPageBreak/>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w:t>
      </w:r>
      <w:r w:rsidR="00F8255E">
        <w:lastRenderedPageBreak/>
        <w:t xml:space="preserve">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1"/>
      <w:r>
        <w:rPr>
          <w:noProof/>
        </w:rPr>
        <w:drawing>
          <wp:inline distT="0" distB="0" distL="0" distR="0" wp14:anchorId="2A3F82C2" wp14:editId="4F991568">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1"/>
      <w:r w:rsidR="0082480B">
        <w:rPr>
          <w:rStyle w:val="CommentReference"/>
          <w:sz w:val="24"/>
          <w:szCs w:val="24"/>
        </w:rPr>
        <w:commentReference w:id="11"/>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2"/>
      <w:commentRangeStart w:id="13"/>
      <w:commentRangeStart w:id="14"/>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12"/>
      <w:r w:rsidR="006B3C69">
        <w:rPr>
          <w:rStyle w:val="CommentReference"/>
          <w:sz w:val="24"/>
          <w:szCs w:val="24"/>
        </w:rPr>
        <w:commentReference w:id="12"/>
      </w:r>
      <w:commentRangeEnd w:id="13"/>
      <w:r w:rsidR="00C151B6">
        <w:rPr>
          <w:rStyle w:val="CommentReference"/>
          <w:sz w:val="24"/>
          <w:szCs w:val="24"/>
        </w:rPr>
        <w:commentReference w:id="13"/>
      </w:r>
      <w:commentRangeEnd w:id="14"/>
      <w:r w:rsidR="00900B69">
        <w:rPr>
          <w:rStyle w:val="CommentReference"/>
          <w:sz w:val="24"/>
          <w:szCs w:val="24"/>
        </w:rPr>
        <w:commentReference w:id="14"/>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3ED71591">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344174B7" w:rsidR="001B3644" w:rsidRDefault="00D64780" w:rsidP="002F397B">
      <w:pPr>
        <w:spacing w:after="0" w:line="480" w:lineRule="auto"/>
        <w:ind w:firstLine="720"/>
      </w:pPr>
      <w:r>
        <w:t xml:space="preserve">These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estimates</w:t>
      </w:r>
      <w:r>
        <w:t xml:space="preserve"> are definitionally </w:t>
      </w:r>
      <w:r w:rsidR="00BB61A0">
        <w:t>adjusted to account for bias</w:t>
      </w:r>
      <w:r w:rsidR="00EC46A6">
        <w:t xml:space="preserve"> resulting from</w:t>
      </w:r>
      <w:r>
        <w:t xml:space="preserve"> the</w:t>
      </w:r>
      <w:r w:rsidR="00EC46A6">
        <w:t xml:space="preserve"> survey methods </w:t>
      </w:r>
      <w:r>
        <w:t xml:space="preserve">employed in making observations. These estimates then may be </w:t>
      </w:r>
      <w:r w:rsidR="00EC46A6">
        <w:t>used</w:t>
      </w:r>
      <w:r w:rsidR="00BB61A0">
        <w:t xml:space="preserve"> to assess </w:t>
      </w:r>
      <w:r>
        <w:lastRenderedPageBreak/>
        <w:t>population-level differences in observations and the underlying natural states being observed</w:t>
      </w:r>
      <w:r w:rsidR="006B3C69">
        <w:t>, and whether ESU/DPSs are being chronically over or undercounted</w:t>
      </w:r>
      <w:r w:rsidR="00BB61A0">
        <w:t xml:space="preserve">. </w:t>
      </w:r>
      <w:commentRangeStart w:id="15"/>
      <w:commentRangeStart w:id="16"/>
      <w:commentRangeStart w:id="17"/>
      <w:r w:rsidR="00BB61A0">
        <w:t xml:space="preserve">This work </w:t>
      </w:r>
      <w:r w:rsidR="005E332C">
        <w:t>additionally</w:t>
      </w:r>
      <w:r w:rsidR="00BB61A0">
        <w:t xml:space="preserve"> consider</w:t>
      </w:r>
      <w:r w:rsidR="005E332C">
        <w:t>s</w:t>
      </w:r>
      <w:r w:rsidR="00BB61A0">
        <w:t xml:space="preserve"> the efficiency of the same survey method in estimating populations that differ by orders of magnitude, as it is not hard to imagine the accuracy of a given method differing considerably when the number of fish present differ substantially. </w:t>
      </w:r>
      <w:commentRangeEnd w:id="15"/>
      <w:r w:rsidR="006B3C69">
        <w:rPr>
          <w:rStyle w:val="CommentReference"/>
          <w:sz w:val="24"/>
          <w:szCs w:val="24"/>
        </w:rPr>
        <w:commentReference w:id="15"/>
      </w:r>
      <w:commentRangeEnd w:id="16"/>
      <w:r w:rsidR="00900B69">
        <w:rPr>
          <w:rStyle w:val="CommentReference"/>
          <w:sz w:val="24"/>
          <w:szCs w:val="24"/>
        </w:rPr>
        <w:commentReference w:id="16"/>
      </w:r>
      <w:commentRangeEnd w:id="17"/>
      <w:r w:rsidR="005E332C">
        <w:rPr>
          <w:rStyle w:val="CommentReference"/>
          <w:sz w:val="24"/>
          <w:szCs w:val="24"/>
        </w:rPr>
        <w:commentReference w:id="17"/>
      </w:r>
      <w:r w:rsidR="00E90F89">
        <w:t xml:space="preserve">Finally, many of the abundance estimates reported are derived from the combination of more than one survey method (see attached Appendix A). </w:t>
      </w:r>
      <w:commentRangeStart w:id="18"/>
      <w:commentRangeStart w:id="19"/>
      <w:r w:rsidR="00E90F89">
        <w:t xml:space="preserve">For example, Scappoose Creek winter steelhead are each year variously surveyed through either in-river weir counts, total redd counts * fish per redd estimate, or the combination of the two. This work evaluate these mixed survey method approaches commonly seen in the data to assess whether imprecision and/or directional bias produced by combining survey methods is amplified or dampened compared to those associated with each constituent part. </w:t>
      </w:r>
      <w:commentRangeEnd w:id="18"/>
      <w:r w:rsidR="00E90F89">
        <w:rPr>
          <w:rStyle w:val="CommentReference"/>
          <w:sz w:val="24"/>
          <w:szCs w:val="24"/>
        </w:rPr>
        <w:commentReference w:id="18"/>
      </w:r>
      <w:commentRangeEnd w:id="19"/>
      <w:r w:rsidR="00E90F89">
        <w:rPr>
          <w:rStyle w:val="CommentReference"/>
          <w:sz w:val="24"/>
          <w:szCs w:val="24"/>
        </w:rPr>
        <w:commentReference w:id="19"/>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w:t>
      </w:r>
      <w:r w:rsidR="00324C3E">
        <w:lastRenderedPageBreak/>
        <w:t xml:space="preserve">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20"/>
      <w:r>
        <w:t>INITIAL RESULTS DON’T INDICATE ANY HUGE DISPARITY BETWEEN ACCURACY OF PARAMETER ESTIAMTES TRAINED ON THESE DIFFERING DATASETS</w:t>
      </w:r>
      <w:commentRangeEnd w:id="20"/>
      <w:r>
        <w:rPr>
          <w:rStyle w:val="CommentReference"/>
          <w:sz w:val="24"/>
          <w:szCs w:val="24"/>
        </w:rPr>
        <w:commentReference w:id="20"/>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124C7A6F" w14:textId="047103D4" w:rsidR="00A366E4" w:rsidRDefault="00A366E4" w:rsidP="002758A5">
      <w:pPr>
        <w:spacing w:after="0" w:line="480" w:lineRule="auto"/>
      </w:pPr>
      <w:commentRangeStart w:id="21"/>
      <w:r>
        <w:t xml:space="preserve">AICc comparisons find that, for all three species, best fit models include a </w:t>
      </w:r>
      <w:r w:rsidRPr="005915DE">
        <w:rPr>
          <w:rFonts w:ascii="MathJax_Math-italic" w:eastAsia="Times New Roman" w:hAnsi="MathJax_Math-italic" w:cs="Times New Roman"/>
          <w:b/>
          <w:bCs/>
          <w:kern w:val="0"/>
          <w:sz w:val="26"/>
          <w:szCs w:val="26"/>
          <w:bdr w:val="none" w:sz="0" w:space="0" w:color="auto" w:frame="1"/>
          <w14:ligatures w14:val="none"/>
        </w:rPr>
        <w:t>u</w:t>
      </w:r>
      <w:r w:rsidRPr="005915DE">
        <w:rPr>
          <w:i/>
          <w:iCs/>
        </w:rPr>
        <w:t xml:space="preserve"> </w:t>
      </w:r>
      <w:r>
        <w:t xml:space="preserve">vector set to </w:t>
      </w:r>
      <w:r w:rsidR="00F83ACD">
        <w:t>zero and</w:t>
      </w:r>
      <w:r>
        <w:t xml:space="preserve"> a </w:t>
      </w:r>
      <w:commentRangeStart w:id="22"/>
      <w:r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matrix specified to allow all populations to share an identical variance term and all pairs of states to share an identical covariance term. </w:t>
      </w:r>
      <w:commentRangeEnd w:id="22"/>
      <w:r>
        <w:rPr>
          <w:rStyle w:val="CommentReference"/>
          <w:sz w:val="24"/>
          <w:szCs w:val="24"/>
        </w:rPr>
        <w:commentReference w:id="22"/>
      </w:r>
      <w:commentRangeStart w:id="23"/>
      <w:r>
        <w:t xml:space="preserve">Recall also that, because MARSS models are unable to estimate bias parameters without a reference method, the bias results described in this section are estimated relative to the ‘Dam Counts’ method. This method is chosen for two reasons: 1) ‘Dam Counts’ have been found to be generally accurate and unbiased, and 2) ‘Dam Counts’ is employed in surveys for all three species in this study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commentRangeEnd w:id="23"/>
      <w:r>
        <w:rPr>
          <w:rStyle w:val="CommentReference"/>
          <w:sz w:val="24"/>
          <w:szCs w:val="24"/>
        </w:rPr>
        <w:commentReference w:id="23"/>
      </w:r>
      <w:commentRangeEnd w:id="21"/>
      <w:r w:rsidR="00FF5D12">
        <w:rPr>
          <w:rStyle w:val="CommentReference"/>
          <w:sz w:val="24"/>
          <w:szCs w:val="24"/>
        </w:rPr>
        <w:commentReference w:id="21"/>
      </w:r>
    </w:p>
    <w:p w14:paraId="7468B430" w14:textId="28B5002F" w:rsidR="00A16DFE" w:rsidRDefault="00834EDB" w:rsidP="00A366E4">
      <w:pPr>
        <w:spacing w:after="0" w:line="480" w:lineRule="auto"/>
        <w:ind w:firstLine="720"/>
      </w:pPr>
      <w:r>
        <w:t xml:space="preserve">In log space, </w:t>
      </w:r>
      <w:r w:rsidR="00DA105F">
        <w:t>most</w:t>
      </w:r>
      <w:r w:rsidR="00C46492">
        <w:t xml:space="preserve"> survey methods analyzed </w:t>
      </w:r>
      <w:r>
        <w:t xml:space="preserve">(14 out of 27) </w:t>
      </w:r>
      <w:r w:rsidR="00C46492">
        <w:t>are not</w:t>
      </w:r>
      <w:r>
        <w:t xml:space="preserve"> found to be</w:t>
      </w:r>
      <w:r w:rsidR="00C46492">
        <w:t xml:space="preserve"> directionally biased </w:t>
      </w:r>
      <w:r>
        <w:t>by more than 0.5, and 21 of 27 methods are not found to be directionally biased by more than 1.</w:t>
      </w:r>
      <w:r w:rsidR="00DA105F">
        <w:t xml:space="preserve"> Similarly the variances associated with survey methods are found to be less than 0.5 in 22 of 28 methods analyzed (Table 1). However, w</w:t>
      </w:r>
      <w:r>
        <w:t xml:space="preserve">hile these numbers </w:t>
      </w:r>
      <w:r w:rsidR="00DA105F">
        <w:t xml:space="preserve">are </w:t>
      </w:r>
      <w:r>
        <w:t>small</w:t>
      </w:r>
      <w:r w:rsidR="00DA105F">
        <w:t>,</w:t>
      </w:r>
      <w:r>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p>
    <w:p w14:paraId="3A9535C2" w14:textId="623FCB5A" w:rsidR="00056555" w:rsidRDefault="003B1B2B" w:rsidP="00B0752E">
      <w:pPr>
        <w:spacing w:after="0" w:line="480" w:lineRule="auto"/>
      </w:pPr>
      <w:r>
        <w:t>1,000 fish (6.908 in log space), a log space offset of 0.5 would correspond to an additional 648</w:t>
      </w:r>
    </w:p>
    <w:p w14:paraId="22786DE1" w14:textId="77777777" w:rsidR="001D256F" w:rsidRDefault="001D256F">
      <w:pPr>
        <w:rPr>
          <w:i/>
          <w:iCs/>
          <w:sz w:val="20"/>
          <w:szCs w:val="20"/>
        </w:rPr>
      </w:pPr>
      <w:r>
        <w:rPr>
          <w:i/>
          <w:iCs/>
          <w:sz w:val="20"/>
          <w:szCs w:val="20"/>
        </w:rPr>
        <w:br w:type="page"/>
      </w:r>
    </w:p>
    <w:p w14:paraId="7E274C09" w14:textId="617A05F0"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r w:rsidR="004D7BF2">
        <w:rPr>
          <w:i/>
          <w:iCs/>
          <w:sz w:val="20"/>
          <w:szCs w:val="20"/>
        </w:rPr>
        <w:t>Precision, v</w:t>
      </w:r>
      <w:commentRangeStart w:id="24"/>
      <w:r>
        <w:rPr>
          <w:i/>
          <w:iCs/>
          <w:sz w:val="20"/>
          <w:szCs w:val="20"/>
        </w:rPr>
        <w:t>ariance</w:t>
      </w:r>
      <w:r w:rsidR="004D7BF2">
        <w:rPr>
          <w:i/>
          <w:iCs/>
          <w:sz w:val="20"/>
          <w:szCs w:val="20"/>
        </w:rPr>
        <w:t>,</w:t>
      </w:r>
      <w:r>
        <w:rPr>
          <w:i/>
          <w:iCs/>
          <w:sz w:val="20"/>
          <w:szCs w:val="20"/>
        </w:rPr>
        <w:t xml:space="preserve"> </w:t>
      </w:r>
      <w:commentRangeEnd w:id="24"/>
      <w:r w:rsidR="00BD1F06">
        <w:rPr>
          <w:rStyle w:val="CommentReference"/>
          <w:i/>
          <w:iCs/>
          <w:sz w:val="20"/>
          <w:szCs w:val="20"/>
        </w:rPr>
        <w:commentReference w:id="24"/>
      </w:r>
      <w:r>
        <w:rPr>
          <w:i/>
          <w:iCs/>
          <w:sz w:val="20"/>
          <w:szCs w:val="20"/>
        </w:rPr>
        <w:t>and bias associated with various observation processes (survey methods), estimated separately by species.</w:t>
      </w:r>
      <w:r w:rsidR="004D7BF2">
        <w:rPr>
          <w:i/>
          <w:iCs/>
          <w:sz w:val="20"/>
          <w:szCs w:val="20"/>
        </w:rPr>
        <w:t xml:space="preserve"> Precision is defined as the inverse of variance (</w:t>
      </w:r>
      <w:r w:rsidR="004D7BF2" w:rsidRPr="004D7BF2">
        <w:rPr>
          <w:rFonts w:cstheme="minorHAnsi"/>
          <w:i/>
          <w:iCs/>
          <w:sz w:val="20"/>
          <w:szCs w:val="20"/>
        </w:rPr>
        <w:t>σ</w:t>
      </w:r>
      <w:r w:rsidR="004D7BF2" w:rsidRPr="004D7BF2">
        <w:rPr>
          <w:rFonts w:cstheme="minorHAnsi"/>
          <w:i/>
          <w:iCs/>
          <w:sz w:val="20"/>
          <w:szCs w:val="20"/>
          <w:vertAlign w:val="superscript"/>
        </w:rPr>
        <w:t>-2</w:t>
      </w:r>
      <w:r w:rsidR="004D7BF2">
        <w:rPr>
          <w:i/>
          <w:iCs/>
          <w:sz w:val="20"/>
          <w:szCs w:val="20"/>
        </w:rPr>
        <w:t>).</w:t>
      </w:r>
    </w:p>
    <w:p w14:paraId="4F724DCA" w14:textId="4BCEEC46" w:rsidR="007D1803" w:rsidRDefault="004D7BF2" w:rsidP="009845CB">
      <w:pPr>
        <w:spacing w:line="240" w:lineRule="auto"/>
        <w:ind w:left="720" w:hanging="720"/>
      </w:pPr>
      <w:r w:rsidRPr="004D7BF2">
        <w:rPr>
          <w:noProof/>
        </w:rPr>
        <w:drawing>
          <wp:inline distT="0" distB="0" distL="0" distR="0" wp14:anchorId="66460579" wp14:editId="274CCE26">
            <wp:extent cx="5569236" cy="2883048"/>
            <wp:effectExtent l="0" t="0" r="0" b="0"/>
            <wp:docPr id="69853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33258" name=""/>
                    <pic:cNvPicPr/>
                  </pic:nvPicPr>
                  <pic:blipFill>
                    <a:blip r:embed="rId14"/>
                    <a:stretch>
                      <a:fillRect/>
                    </a:stretch>
                  </pic:blipFill>
                  <pic:spPr>
                    <a:xfrm>
                      <a:off x="0" y="0"/>
                      <a:ext cx="5569236" cy="2883048"/>
                    </a:xfrm>
                    <a:prstGeom prst="rect">
                      <a:avLst/>
                    </a:prstGeom>
                  </pic:spPr>
                </pic:pic>
              </a:graphicData>
            </a:graphic>
          </wp:inline>
        </w:drawing>
      </w:r>
    </w:p>
    <w:p w14:paraId="6F1F1F43" w14:textId="09F781A2" w:rsidR="007D1803" w:rsidRDefault="008E70AB" w:rsidP="009845CB">
      <w:pPr>
        <w:spacing w:line="240" w:lineRule="auto"/>
        <w:ind w:left="720" w:hanging="720"/>
      </w:pPr>
      <w:r w:rsidRPr="008E70AB">
        <w:rPr>
          <w:noProof/>
        </w:rPr>
        <w:drawing>
          <wp:inline distT="0" distB="0" distL="0" distR="0" wp14:anchorId="3D222063" wp14:editId="79DCA184">
            <wp:extent cx="5531134" cy="2406774"/>
            <wp:effectExtent l="0" t="0" r="0" b="0"/>
            <wp:doc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pic:cNvPicPr/>
                  </pic:nvPicPr>
                  <pic:blipFill>
                    <a:blip r:embed="rId15"/>
                    <a:stretch>
                      <a:fillRect/>
                    </a:stretch>
                  </pic:blipFill>
                  <pic:spPr>
                    <a:xfrm>
                      <a:off x="0" y="0"/>
                      <a:ext cx="5531134" cy="2406774"/>
                    </a:xfrm>
                    <a:prstGeom prst="rect">
                      <a:avLst/>
                    </a:prstGeom>
                  </pic:spPr>
                </pic:pic>
              </a:graphicData>
            </a:graphic>
          </wp:inline>
        </w:drawing>
      </w:r>
    </w:p>
    <w:p w14:paraId="49763B6B" w14:textId="78208239" w:rsidR="0088261E" w:rsidRDefault="008E70AB" w:rsidP="0088261E">
      <w:pPr>
        <w:spacing w:after="0" w:line="240" w:lineRule="auto"/>
        <w:rPr>
          <w:i/>
          <w:iCs/>
          <w:sz w:val="20"/>
          <w:szCs w:val="20"/>
        </w:rPr>
      </w:pPr>
      <w:r w:rsidRPr="008E70AB">
        <w:rPr>
          <w:noProof/>
        </w:rPr>
        <w:drawing>
          <wp:inline distT="0" distB="0" distL="0" distR="0" wp14:anchorId="5E3CFD86" wp14:editId="45B41FD9">
            <wp:extent cx="5505733" cy="1892397"/>
            <wp:effectExtent l="0" t="0" r="0" b="0"/>
            <wp:docPr id="541381950" name="Picture 1" descr="The provided text appears to be a series of data points, possibly from a statistical or scientific study, but it lacks a visual context to describe. Without an image, I cannot describe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81950" name="Picture 1" descr="The provided text appears to be a series of data points, possibly from a statistical or scientific study, but it lacks a visual context to describe. Without an image, I cannot describe it.&#10;&#10;AI-generated content may be incorrect."/>
                    <pic:cNvPicPr/>
                  </pic:nvPicPr>
                  <pic:blipFill>
                    <a:blip r:embed="rId16"/>
                    <a:stretch>
                      <a:fillRect/>
                    </a:stretch>
                  </pic:blipFill>
                  <pic:spPr>
                    <a:xfrm>
                      <a:off x="0" y="0"/>
                      <a:ext cx="5505733" cy="189239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2A361385" w:rsidR="00CA7033" w:rsidRDefault="003B1B2B" w:rsidP="00A366E4">
      <w:pPr>
        <w:spacing w:after="0" w:line="480" w:lineRule="auto"/>
        <w:rPr>
          <w:b/>
          <w:bCs/>
        </w:rPr>
      </w:pPr>
      <w:r>
        <w:lastRenderedPageBreak/>
        <w:t>s</w:t>
      </w:r>
      <w:r w:rsidR="00CA7033">
        <w:t>almon</w:t>
      </w:r>
      <w:r>
        <w:t>, while the same offset applied to a population of 100 salmon would correspond to an additional 64 fish</w:t>
      </w:r>
      <w:r w:rsidR="00CA7033">
        <w:t>.</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19F1ABC5" w:rsidR="00CA7033" w:rsidRDefault="00901400" w:rsidP="00A366E4">
      <w:pPr>
        <w:spacing w:after="0" w:line="480" w:lineRule="auto"/>
      </w:pPr>
      <w:r>
        <w:t>Half of the</w:t>
      </w:r>
      <w:commentRangeStart w:id="25"/>
      <w:commentRangeStart w:id="26"/>
      <w:r w:rsidR="00A366E4">
        <w:t xml:space="preserve"> Chinook survey methods </w:t>
      </w:r>
      <w:r>
        <w:t>analyzed in this study a</w:t>
      </w:r>
      <w:r w:rsidR="00A366E4">
        <w:t xml:space="preserve">re biased </w:t>
      </w:r>
      <w:r>
        <w:t xml:space="preserve">by less than </w:t>
      </w:r>
      <w:r>
        <w:rPr>
          <w:rFonts w:cstheme="minorHAnsi"/>
        </w:rPr>
        <w:t>±</w:t>
      </w:r>
      <w:r>
        <w:t xml:space="preserve">0.5 </w:t>
      </w:r>
      <w:r w:rsidR="00A366E4">
        <w:t>compared to the ‘Dam Counts’ method</w:t>
      </w:r>
      <w:r w:rsidR="00037884">
        <w:t xml:space="preserve"> (</w:t>
      </w:r>
      <w:r>
        <w:t>Figure</w:t>
      </w:r>
      <w:r w:rsidR="00037884">
        <w:t xml:space="preserve"> 4), and </w:t>
      </w:r>
      <w:r>
        <w:t>with the majority of observations occurring in populations between 100 and 1,000 fish these relatively small biases do not represent</w:t>
      </w:r>
      <w:r w:rsidR="008A5E28">
        <w:t xml:space="preserve"> huge numbers of fish over or undercounted </w:t>
      </w:r>
      <w:r>
        <w:t>(Figure 21)</w:t>
      </w:r>
      <w:r w:rsidR="00A366E4">
        <w:t xml:space="preserve">. ‘Area Under Curve: Population (Total live spawners)’ and ‘Peak spawner count expansion’ exhibit a tendency to undercount the underlying number of spawners, while the strongest positive bias is associated </w:t>
      </w:r>
      <w:commentRangeEnd w:id="25"/>
      <w:r w:rsidR="008A5E28">
        <w:rPr>
          <w:rStyle w:val="CommentReference"/>
          <w:sz w:val="24"/>
          <w:szCs w:val="24"/>
        </w:rPr>
        <w:commentReference w:id="25"/>
      </w:r>
      <w:commentRangeEnd w:id="26"/>
      <w:r w:rsidR="00A82F48">
        <w:rPr>
          <w:rStyle w:val="CommentReference"/>
          <w:sz w:val="24"/>
          <w:szCs w:val="24"/>
        </w:rPr>
        <w:commentReference w:id="26"/>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77A46FBE" w:rsidR="008165F1" w:rsidRDefault="008A5E28" w:rsidP="00B60485">
      <w:pPr>
        <w:spacing w:after="0" w:line="480" w:lineRule="auto"/>
      </w:pPr>
      <w:r>
        <w:lastRenderedPageBreak/>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27"/>
      <w:r w:rsidR="00447754">
        <w:t>Figure 21</w:t>
      </w:r>
      <w:commentRangeEnd w:id="27"/>
      <w:r w:rsidR="00AB0D55">
        <w:rPr>
          <w:rStyle w:val="CommentReference"/>
          <w:sz w:val="24"/>
          <w:szCs w:val="24"/>
        </w:rPr>
        <w:commentReference w:id="27"/>
      </w:r>
      <w:r w:rsidR="00447754">
        <w:t>). The on-the-</w:t>
      </w:r>
      <w:r w:rsidR="00A366E4">
        <w:t xml:space="preserve">ground impact of these directional biases are seen most starkly in the </w:t>
      </w:r>
      <w:commentRangeStart w:id="28"/>
      <w:r w:rsidR="00A366E4">
        <w:t xml:space="preserve">Lower Columbia River ESU (Figure 5)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(Table 2</w:t>
      </w:r>
      <w:commentRangeEnd w:id="28"/>
      <w:r w:rsidR="00F83ACD">
        <w:rPr>
          <w:rStyle w:val="CommentReference"/>
          <w:sz w:val="24"/>
          <w:szCs w:val="24"/>
        </w:rPr>
        <w:commentReference w:id="28"/>
      </w:r>
      <w:r w:rsidR="0068684A">
        <w:t>, Figure 21</w:t>
      </w:r>
      <w:r w:rsidR="008165F1">
        <w:t>).</w:t>
      </w:r>
    </w:p>
    <w:p w14:paraId="2DC7BB92" w14:textId="77777777" w:rsidR="00412C61" w:rsidRDefault="00F821A5" w:rsidP="00B60485">
      <w:pPr>
        <w:spacing w:after="0" w:line="480" w:lineRule="auto"/>
      </w:pPr>
      <w:r>
        <w:tab/>
      </w:r>
      <w:commentRangeStart w:id="29"/>
      <w:commentRangeStart w:id="30"/>
      <w:commentRangeStart w:id="31"/>
      <w:r>
        <w:t xml:space="preserve">In terms of </w:t>
      </w:r>
      <w:r w:rsidR="00831E3F">
        <w:t xml:space="preserve">statistical </w:t>
      </w:r>
      <w:commentRangeEnd w:id="29"/>
      <w:r w:rsidR="00CA7033">
        <w:rPr>
          <w:rStyle w:val="CommentReference"/>
          <w:sz w:val="24"/>
          <w:szCs w:val="24"/>
        </w:rPr>
        <w:commentReference w:id="29"/>
      </w:r>
      <w:commentRangeEnd w:id="30"/>
      <w:r w:rsidR="00CA10A8">
        <w:rPr>
          <w:rStyle w:val="CommentReference"/>
          <w:sz w:val="24"/>
          <w:szCs w:val="24"/>
        </w:rPr>
        <w:commentReference w:id="30"/>
      </w:r>
      <w:commentRangeEnd w:id="31"/>
      <w:r w:rsidR="00162B03">
        <w:rPr>
          <w:rStyle w:val="CommentReference"/>
          <w:sz w:val="24"/>
          <w:szCs w:val="24"/>
        </w:rPr>
        <w:commentReference w:id="31"/>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32"/>
      <w:commentRangeStart w:id="33"/>
      <w:r>
        <w:t xml:space="preserve">the ‘Area Under Curve: Population (Total live spawners)’ method </w:t>
      </w:r>
      <w:r w:rsidR="00162B03">
        <w:t>is far less precise than</w:t>
      </w:r>
      <w:r>
        <w:t xml:space="preserve"> every other method employed in Chinook surveys</w:t>
      </w:r>
      <w:commentRangeEnd w:id="32"/>
      <w:r w:rsidR="00CA7033">
        <w:rPr>
          <w:rStyle w:val="CommentReference"/>
          <w:sz w:val="24"/>
          <w:szCs w:val="24"/>
        </w:rPr>
        <w:commentReference w:id="32"/>
      </w:r>
      <w:commentRangeEnd w:id="33"/>
      <w:r w:rsidR="00A82F48">
        <w:rPr>
          <w:rStyle w:val="CommentReference"/>
          <w:sz w:val="24"/>
          <w:szCs w:val="24"/>
        </w:rPr>
        <w:commentReference w:id="33"/>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34"/>
      <w:r>
        <w:t xml:space="preserve">this ESU have </w:t>
      </w:r>
      <w:r w:rsidR="00BD1F06">
        <w:t>a strong</w:t>
      </w:r>
      <w:r>
        <w:t xml:space="preserve"> tendency towards biased population estimates, but also that those estimates are accompanied by a high degree of inherent uncertainty</w:t>
      </w:r>
      <w:commentRangeEnd w:id="34"/>
      <w:r w:rsidR="0045230E">
        <w:rPr>
          <w:rStyle w:val="CommentReference"/>
          <w:sz w:val="24"/>
          <w:szCs w:val="24"/>
        </w:rPr>
        <w:commentReference w:id="34"/>
      </w:r>
      <w:r w:rsidR="004132ED">
        <w:t xml:space="preserve"> </w:t>
      </w:r>
      <w:r>
        <w:t xml:space="preserve">(Figure </w:t>
      </w:r>
      <w:r w:rsidR="00831E3F">
        <w:t>7</w:t>
      </w:r>
      <w:r>
        <w:t>)</w:t>
      </w:r>
      <w:r w:rsidR="00615E9F">
        <w:t>.</w:t>
      </w:r>
      <w:r w:rsidR="00412C61" w:rsidRPr="00412C61">
        <w:t xml:space="preserve"> </w:t>
      </w:r>
    </w:p>
    <w:p w14:paraId="77932281" w14:textId="6861039E" w:rsidR="0014732D" w:rsidRDefault="00412C61" w:rsidP="00A917E4">
      <w:pPr>
        <w:spacing w:after="0" w:line="480" w:lineRule="auto"/>
        <w:ind w:firstLine="720"/>
      </w:pPr>
      <w:r>
        <w:lastRenderedPageBreak/>
        <w:t xml:space="preserve">The majority of Chinook populations analyzed are not found to be heavily over- or undercounted, with most observed data points falling within a 95% confidence interval of the underlying state estimate across most populations (Figure 8). Once again, this general behavior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w:t>
      </w:r>
      <w:r w:rsidR="003F6298">
        <w:t>Similarly, exclusive reliance on the ‘Peak redd count expansion * Fish per redd estimate’ method</w:t>
      </w:r>
      <w:r w:rsidR="00411ED6">
        <w:t>, the second most upwardly biased Chinook survey method included in this study,</w:t>
      </w:r>
      <w:r w:rsidR="003F6298">
        <w:t xml:space="preserve"> has led to the</w:t>
      </w:r>
      <w:r w:rsidR="0014732D">
        <w:t xml:space="preserve"> Sandy River fall run also tend</w:t>
      </w:r>
      <w:r w:rsidR="003F6298">
        <w:t>ing</w:t>
      </w:r>
      <w:r w:rsidR="0014732D">
        <w:t xml:space="preserve"> to be overcounted, </w:t>
      </w:r>
      <w:r w:rsidR="00411ED6">
        <w:t>t</w:t>
      </w:r>
      <w:r w:rsidR="0014732D">
        <w:t>hough not</w:t>
      </w:r>
      <w:r w:rsidR="003F6298">
        <w:t xml:space="preserve"> to</w:t>
      </w:r>
      <w:r w:rsidR="0014732D">
        <w:t xml:space="preserve"> the same </w:t>
      </w:r>
      <w:r w:rsidR="006A07C3">
        <w:t xml:space="preserve">extreme </w:t>
      </w:r>
      <w:r w:rsidR="0014732D">
        <w:t>degree</w:t>
      </w:r>
      <w:r w:rsidR="003F6298">
        <w:t xml:space="preserve"> as the John Day populations</w:t>
      </w:r>
      <w:r w:rsidR="00411ED6">
        <w:t xml:space="preserve"> (</w:t>
      </w:r>
      <w:r w:rsidR="006A07C3">
        <w:t xml:space="preserve">25.6% of </w:t>
      </w:r>
      <w:r w:rsidR="0014732D">
        <w:t>observations fall easily within the state estimate’s 95% confidence interval</w:t>
      </w:r>
      <w:r w:rsidR="00411ED6">
        <w:t>)</w:t>
      </w:r>
      <w:r w:rsidR="0014732D">
        <w:t xml:space="preserv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Chinook survey methods analyzed in this study. </w:t>
      </w:r>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p>
    <w:p w14:paraId="12E63540" w14:textId="629FAF24" w:rsidR="00020F6E" w:rsidRDefault="00D42BD2" w:rsidP="00020F6E">
      <w:pPr>
        <w:spacing w:after="0" w:line="240" w:lineRule="auto"/>
      </w:pPr>
      <w:r>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2D64E50F" w:rsidR="00F6348E" w:rsidRDefault="0004003B"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0FE1E43" wp14:editId="7DDB4CAD">
            <wp:extent cx="8229600" cy="4347845"/>
            <wp:effectExtent l="0" t="0" r="0" b="0"/>
            <wp:docPr id="55728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82310" name=""/>
                    <pic:cNvPicPr/>
                  </pic:nvPicPr>
                  <pic:blipFill>
                    <a:blip r:embed="rId18"/>
                    <a:stretch>
                      <a:fillRect/>
                    </a:stretch>
                  </pic:blipFill>
                  <pic:spPr>
                    <a:xfrm>
                      <a:off x="0" y="0"/>
                      <a:ext cx="8229600" cy="4347845"/>
                    </a:xfrm>
                    <a:prstGeom prst="rect">
                      <a:avLst/>
                    </a:prstGeom>
                  </pic:spPr>
                </pic:pic>
              </a:graphicData>
            </a:graphic>
          </wp:inline>
        </w:drawing>
      </w:r>
      <w:r w:rsidR="00AC20EE">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35"/>
      <w:commentRangeStart w:id="36"/>
      <w:r w:rsidR="006F605C">
        <w:rPr>
          <w:i/>
          <w:iCs/>
          <w:sz w:val="20"/>
          <w:szCs w:val="20"/>
        </w:rPr>
        <w:t xml:space="preserve">Directional bias </w:t>
      </w:r>
      <w:commentRangeEnd w:id="35"/>
      <w:r w:rsidR="00470026">
        <w:rPr>
          <w:rStyle w:val="CommentReference"/>
          <w:i/>
          <w:iCs/>
          <w:sz w:val="20"/>
          <w:szCs w:val="20"/>
        </w:rPr>
        <w:commentReference w:id="35"/>
      </w:r>
      <w:commentRangeEnd w:id="36"/>
      <w:r w:rsidR="00A82F48">
        <w:rPr>
          <w:rStyle w:val="CommentReference"/>
          <w:i/>
          <w:iCs/>
          <w:sz w:val="20"/>
          <w:szCs w:val="20"/>
        </w:rPr>
        <w:commentReference w:id="36"/>
      </w:r>
      <w:r w:rsidR="006F605C">
        <w:rPr>
          <w:i/>
          <w:iCs/>
          <w:sz w:val="20"/>
          <w:szCs w:val="20"/>
        </w:rPr>
        <w:t xml:space="preserve">in </w:t>
      </w:r>
      <w:r w:rsidR="00843ED1">
        <w:rPr>
          <w:i/>
          <w:iCs/>
          <w:sz w:val="20"/>
          <w:szCs w:val="20"/>
        </w:rPr>
        <w:t>Chinook</w:t>
      </w:r>
      <w:r w:rsidR="006F605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p>
    <w:p w14:paraId="5E6AEB54" w14:textId="2196F018"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r w:rsidR="00286866">
        <w:rPr>
          <w:noProof/>
        </w:rPr>
        <w:lastRenderedPageBreak/>
        <w:drawing>
          <wp:inline distT="0" distB="0" distL="0" distR="0" wp14:anchorId="3288D978" wp14:editId="3293D530">
            <wp:extent cx="8229600" cy="4618355"/>
            <wp:effectExtent l="0" t="0" r="0" b="0"/>
            <wp:docPr id="213641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14229" name=""/>
                    <pic:cNvPicPr/>
                  </pic:nvPicPr>
                  <pic:blipFill>
                    <a:blip r:embed="rId20"/>
                    <a:stretch>
                      <a:fillRect/>
                    </a:stretch>
                  </pic:blipFill>
                  <pic:spPr>
                    <a:xfrm>
                      <a:off x="0" y="0"/>
                      <a:ext cx="8229600" cy="4618355"/>
                    </a:xfrm>
                    <a:prstGeom prst="rect">
                      <a:avLst/>
                    </a:prstGeom>
                  </pic:spPr>
                </pic:pic>
              </a:graphicData>
            </a:graphic>
          </wp:inline>
        </w:drawing>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Chinook</w:t>
      </w:r>
      <w:r w:rsidR="006F605C">
        <w:rPr>
          <w:i/>
          <w:iCs/>
          <w:sz w:val="20"/>
          <w:szCs w:val="20"/>
        </w:rPr>
        <w:t xml:space="preserve"> populations from 1980-2024. Survey method bias estimated relative to ‘Dam Counts’ method.</w:t>
      </w:r>
      <w:r w:rsidR="006F605C" w:rsidRPr="006F605C">
        <w:rPr>
          <w:noProof/>
        </w:rPr>
        <w:t xml:space="preserve"> </w:t>
      </w:r>
    </w:p>
    <w:p w14:paraId="44268067" w14:textId="49BA0009" w:rsidR="00F6348E" w:rsidRDefault="0004003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22F4653" wp14:editId="2BC451A5">
            <wp:extent cx="8229600" cy="4343400"/>
            <wp:effectExtent l="0" t="0" r="0" b="0"/>
            <wp:docPr id="1173486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86281" name=""/>
                    <pic:cNvPicPr/>
                  </pic:nvPicPr>
                  <pic:blipFill>
                    <a:blip r:embed="rId21"/>
                    <a:stretch>
                      <a:fillRect/>
                    </a:stretch>
                  </pic:blipFill>
                  <pic:spPr>
                    <a:xfrm>
                      <a:off x="0" y="0"/>
                      <a:ext cx="8229600" cy="4343400"/>
                    </a:xfrm>
                    <a:prstGeom prst="rect">
                      <a:avLst/>
                    </a:prstGeom>
                  </pic:spPr>
                </pic:pic>
              </a:graphicData>
            </a:graphic>
          </wp:inline>
        </w:drawing>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sidR="00183E52">
        <w:rPr>
          <w:i/>
          <w:iCs/>
          <w:sz w:val="20"/>
          <w:szCs w:val="20"/>
        </w:rPr>
        <w:t>Precision (</w:t>
      </w:r>
      <w:r w:rsidR="00183E52">
        <w:rPr>
          <w:rFonts w:cstheme="minorHAnsi"/>
          <w:i/>
          <w:iCs/>
          <w:sz w:val="20"/>
          <w:szCs w:val="20"/>
        </w:rPr>
        <w:t>σ</w:t>
      </w:r>
      <w:r w:rsidR="00183E52" w:rsidRPr="00183E52">
        <w:rPr>
          <w:i/>
          <w:iCs/>
          <w:sz w:val="20"/>
          <w:szCs w:val="20"/>
          <w:vertAlign w:val="superscript"/>
        </w:rPr>
        <w:t>-2</w:t>
      </w:r>
      <w:r w:rsidR="00183E52">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 Color groupings are non-scientific and intended only as reference.</w:t>
      </w:r>
      <w:r w:rsidR="006F605C" w:rsidRPr="005915DE">
        <w:rPr>
          <w:i/>
          <w:iCs/>
          <w:sz w:val="20"/>
          <w:szCs w:val="20"/>
        </w:rPr>
        <w:t xml:space="preserve"> </w:t>
      </w:r>
    </w:p>
    <w:p w14:paraId="49F97E5B" w14:textId="0EA03E7F" w:rsidR="00C5085D" w:rsidRPr="00504058" w:rsidRDefault="0012702E" w:rsidP="00C5085D">
      <w:pPr>
        <w:rPr>
          <w:bCs/>
        </w:rPr>
      </w:pPr>
      <w:r>
        <w:rPr>
          <w:noProof/>
        </w:rPr>
        <w:lastRenderedPageBreak/>
        <w:drawing>
          <wp:inline distT="0" distB="0" distL="0" distR="0" wp14:anchorId="7A734546" wp14:editId="78333EB5">
            <wp:extent cx="8229600" cy="4567555"/>
            <wp:effectExtent l="0" t="0" r="0" b="4445"/>
            <wp:docPr id="33515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8248" name=""/>
                    <pic:cNvPicPr/>
                  </pic:nvPicPr>
                  <pic:blipFill>
                    <a:blip r:embed="rId22"/>
                    <a:stretch>
                      <a:fillRect/>
                    </a:stretch>
                  </pic:blipFill>
                  <pic:spPr>
                    <a:xfrm>
                      <a:off x="0" y="0"/>
                      <a:ext cx="8229600" cy="4567555"/>
                    </a:xfrm>
                    <a:prstGeom prst="rect">
                      <a:avLst/>
                    </a:prstGeom>
                  </pic:spPr>
                </pic:pic>
              </a:graphicData>
            </a:graphic>
          </wp:inline>
        </w:drawing>
      </w:r>
      <w:r w:rsidR="004A7F14"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r w:rsidR="00BE320C">
        <w:rPr>
          <w:noProof/>
        </w:rPr>
        <w:lastRenderedPageBreak/>
        <w:drawing>
          <wp:inline distT="0" distB="0" distL="0" distR="0" wp14:anchorId="3708E5E8" wp14:editId="2DB3A639">
            <wp:extent cx="8229600" cy="4312285"/>
            <wp:effectExtent l="0" t="0" r="0" b="0"/>
            <wp:docPr id="169492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21244" name=""/>
                    <pic:cNvPicPr/>
                  </pic:nvPicPr>
                  <pic:blipFill>
                    <a:blip r:embed="rId23"/>
                    <a:stretch>
                      <a:fillRect/>
                    </a:stretch>
                  </pic:blipFill>
                  <pic:spPr>
                    <a:xfrm>
                      <a:off x="0" y="0"/>
                      <a:ext cx="8229600" cy="4312285"/>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Chinook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60.6% of values recorded in Chinook surveys fall within </w:t>
      </w:r>
      <w:r w:rsidR="005C126E">
        <w:rPr>
          <w:i/>
          <w:iCs/>
          <w:sz w:val="20"/>
          <w:szCs w:val="20"/>
        </w:rPr>
        <w:t xml:space="preserve">their respective population </w:t>
      </w:r>
      <w:r w:rsidR="00475999">
        <w:rPr>
          <w:i/>
          <w:iCs/>
          <w:sz w:val="20"/>
          <w:szCs w:val="20"/>
        </w:rPr>
        <w:t>estimate’s 95% confidence interval.</w:t>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62A2452F" w:rsidR="007F4181" w:rsidRDefault="00FA6909" w:rsidP="007F4181">
      <w:pPr>
        <w:spacing w:after="0" w:line="480" w:lineRule="auto"/>
      </w:pPr>
      <w:r>
        <w:t xml:space="preserve">The methods used to survey coho </w:t>
      </w:r>
      <w:r w:rsidR="00583E67">
        <w:t xml:space="preserve">are all found to have positive </w:t>
      </w:r>
      <w:r>
        <w:t>relative biases</w:t>
      </w:r>
      <w:r w:rsidR="008379A2">
        <w:t xml:space="preserve"> </w:t>
      </w:r>
      <w:r w:rsidR="00583E67">
        <w:t xml:space="preserve">(as compared </w:t>
      </w:r>
      <w:r w:rsidR="008379A2">
        <w:t xml:space="preserve">to </w:t>
      </w:r>
      <w:r>
        <w:t xml:space="preserve">the </w:t>
      </w:r>
      <w:r w:rsidR="000E66FA">
        <w:t>zero-value</w:t>
      </w:r>
      <w:r>
        <w:t xml:space="preserve"> associated with the ‘Dam counts’ reference method</w:t>
      </w:r>
      <w:r w:rsidR="00583E67">
        <w:t xml:space="preserve">), although </w:t>
      </w:r>
      <w:r w:rsidR="00F567AB">
        <w:t>bootstrapped parameter estimates are at least occasionally negative (beyond outliers) for most methods studied</w:t>
      </w:r>
      <w:r>
        <w:t xml:space="preserve"> (Figure 10)</w:t>
      </w:r>
      <w:r w:rsidR="000E66FA">
        <w:t xml:space="preserve">. </w:t>
      </w:r>
      <w:r w:rsidR="007F4181">
        <w:t xml:space="preserve">No particular method vastly exceeds the rest in the magnitude of this upward bias, and neither is any method exclusively employed to survey populations of certain size (Figure 23).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 </w:t>
      </w:r>
      <w:r w:rsidR="008405D2">
        <w:t>tendenc</w:t>
      </w:r>
      <w:r w:rsidR="008D0FCE">
        <w:t>y towards upward bias is</w:t>
      </w:r>
      <w:r w:rsidR="008379A2">
        <w:t xml:space="preserv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w:t>
      </w:r>
      <w:r w:rsidR="000978A5">
        <w:t>Coho populations in this study are often much larger than Chinook or steelhead populations, meaning that seemingly small positive bias terms can still translate to</w:t>
      </w:r>
      <w:r w:rsidR="007F4181" w:rsidRPr="007F4181">
        <w:t xml:space="preserve"> </w:t>
      </w:r>
      <w:r w:rsidR="007F4181">
        <w:t xml:space="preserve">large numbers of nonexistent fish being counted (Figure 23). These tendencies towards overestimation are seen most starkly in the survey methods employed in the Oregon Coast ESU, but due to all survey methods being associated with some positive bias, some populations in the Lower Columbia River ESU likewise tend to be upwardly biased (Figure 11). Taken in aggregate however, </w:t>
      </w:r>
      <w:commentRangeStart w:id="37"/>
      <w:r w:rsidR="007F4181">
        <w:t xml:space="preserve">the positive biases associated with surveys conducted within the Oregon Coast ESU could lead to the ESU-level coho abundance being more significantly overestimated, </w:t>
      </w:r>
      <w:commentRangeEnd w:id="37"/>
      <w:r w:rsidR="007F4181">
        <w:rPr>
          <w:rStyle w:val="CommentReference"/>
          <w:sz w:val="24"/>
          <w:szCs w:val="24"/>
        </w:rPr>
        <w:commentReference w:id="37"/>
      </w:r>
      <w:r w:rsidR="007F4181">
        <w:t xml:space="preserve">due to this ESU’s much larger number of constituent populations (21 populations in the Oregon Coast ESU compared to 6 in the Lower Columbia River ESU). </w:t>
      </w:r>
    </w:p>
    <w:p w14:paraId="530C5671" w14:textId="728D925E"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4"/>
                    <a:stretch>
                      <a:fillRect/>
                    </a:stretch>
                  </pic:blipFill>
                  <pic:spPr>
                    <a:xfrm>
                      <a:off x="0" y="0"/>
                      <a:ext cx="5943600" cy="4468495"/>
                    </a:xfrm>
                    <a:prstGeom prst="rect">
                      <a:avLst/>
                    </a:prstGeom>
                  </pic:spPr>
                </pic:pic>
              </a:graphicData>
            </a:graphic>
          </wp:inline>
        </w:drawing>
      </w:r>
    </w:p>
    <w:p w14:paraId="7E97977C" w14:textId="3E9D753E" w:rsidR="00C15822" w:rsidRDefault="001351E7" w:rsidP="000E66FA">
      <w:pPr>
        <w:spacing w:after="0" w:line="480" w:lineRule="auto"/>
      </w:pPr>
      <w:r>
        <w:t xml:space="preserve">and </w:t>
      </w:r>
      <w:r w:rsidR="007E2C17">
        <w:t>high</w:t>
      </w:r>
      <w:r>
        <w:t xml:space="preserve"> stream</w:t>
      </w:r>
      <w:r w:rsidR="007E2C17">
        <w:t xml:space="preserve"> flows (</w:t>
      </w:r>
      <w:r w:rsidR="005D44C0">
        <w:t>National Marine Fisheries Service 2016</w:t>
      </w:r>
      <w:r w:rsidR="007E2C17">
        <w:t xml:space="preserve">). </w:t>
      </w:r>
      <w:r w:rsidR="00DB0928">
        <w:t>T</w:t>
      </w:r>
      <w:r w:rsidR="003E281D">
        <w:t>he ‘Dam counts + Expansion below dam’ method</w:t>
      </w:r>
      <w:r w:rsidR="001A65D1">
        <w:t xml:space="preserve"> </w:t>
      </w:r>
      <w:r>
        <w:t xml:space="preserve">is found </w:t>
      </w:r>
      <w:r w:rsidR="001A65D1">
        <w:t>to be</w:t>
      </w:r>
      <w:r w:rsidR="00DB0928">
        <w:t xml:space="preserve"> particularly imprecise</w:t>
      </w:r>
      <w:r>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somewhat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 xml:space="preserve">almost 80% of </w:t>
      </w:r>
      <w:r w:rsidR="00C15822">
        <w:lastRenderedPageBreak/>
        <w:t>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43E38C68" w:rsidR="00BD1A20" w:rsidRDefault="000B6925" w:rsidP="00BD1A20">
      <w:pPr>
        <w:spacing w:after="0" w:line="480" w:lineRule="auto"/>
      </w:pPr>
      <w:r>
        <w:tab/>
      </w:r>
      <w:r w:rsidR="008C2475">
        <w:t>A common pattern is seen when examining the population level differences between coho observations and underlying state estimates: in many populations, observations consistently hover above underlying state point estimates while dancing in and out of the 95% confidence intervals over the duration of the time series</w:t>
      </w:r>
      <w:r w:rsidR="005A5D3B">
        <w:t xml:space="preserve"> (Figure 14)</w:t>
      </w:r>
      <w:r w:rsidR="008C2475">
        <w:t xml:space="preserve">. </w:t>
      </w:r>
      <w:r w:rsidR="005A5D3B">
        <w:t>This pattern is particularly prominent in populations</w:t>
      </w:r>
      <w:r w:rsidR="00BD1A20">
        <w:t xml:space="preserve"> which heavily rely on ‘Area Under Curve’ survey methods</w:t>
      </w:r>
      <w:r w:rsidR="005A5D3B">
        <w:t>, such as (but not limited to) Beaver Creek, Coquille River, the Umpqua River populations, and Tillamook Bay.</w:t>
      </w:r>
      <w:r w:rsidR="00997D84">
        <w:t xml:space="preserve"> This is not to say that these populations are exceptionally inaccurate, but only that when an observation falls outside the state estimate’s 95% confidence interval, it is almost always above.</w:t>
      </w:r>
      <w:r w:rsidR="005A5D3B">
        <w:t xml:space="preserve"> Beyond this general pattern, a few coho populations are more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2806B9">
        <w:t xml:space="preserve">Despite being measured by a variety of survey methods, </w:t>
      </w:r>
      <w:r w:rsidR="00BD1A20">
        <w:t>Clackamas River observations also frequently exceed their underlying state’s 95% confidence interval. Recall that all coho survey methods analyzed in this study exhibit positive point estimates of bias parameters, which leads to very few instances where an observed value falls below the underlying state estimate for more than an occasional year.</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7C0DC3FD" w:rsidR="008E6EE5" w:rsidRDefault="0004003B" w:rsidP="008E6EE5">
      <w:pPr>
        <w:spacing w:after="0" w:line="240" w:lineRule="auto"/>
        <w:rPr>
          <w:i/>
          <w:iCs/>
          <w:sz w:val="20"/>
          <w:szCs w:val="20"/>
        </w:rPr>
      </w:pPr>
      <w:r>
        <w:rPr>
          <w:noProof/>
        </w:rPr>
        <w:lastRenderedPageBreak/>
        <w:drawing>
          <wp:inline distT="0" distB="0" distL="0" distR="0" wp14:anchorId="7F08D115" wp14:editId="0C2E871F">
            <wp:extent cx="8229600" cy="4345940"/>
            <wp:effectExtent l="0" t="0" r="0" b="0"/>
            <wp:docPr id="6642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252" name=""/>
                    <pic:cNvPicPr/>
                  </pic:nvPicPr>
                  <pic:blipFill>
                    <a:blip r:embed="rId25"/>
                    <a:stretch>
                      <a:fillRect/>
                    </a:stretch>
                  </pic:blipFill>
                  <pic:spPr>
                    <a:xfrm>
                      <a:off x="0" y="0"/>
                      <a:ext cx="8229600" cy="4345940"/>
                    </a:xfrm>
                    <a:prstGeom prst="rect">
                      <a:avLst/>
                    </a:prstGeom>
                  </pic:spPr>
                </pic:pic>
              </a:graphicData>
            </a:graphic>
          </wp:inline>
        </w:drawing>
      </w:r>
      <w:r w:rsidR="00E4636B">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 xml:space="preserve">Directional bias in </w:t>
      </w:r>
      <w:r w:rsidR="00843ED1">
        <w:rPr>
          <w:i/>
          <w:iCs/>
          <w:sz w:val="20"/>
          <w:szCs w:val="20"/>
        </w:rPr>
        <w:t>coho</w:t>
      </w:r>
      <w:r w:rsidR="006F605C">
        <w:rPr>
          <w:i/>
          <w:iCs/>
          <w:sz w:val="20"/>
          <w:szCs w:val="20"/>
        </w:rPr>
        <w:t xml:space="preserve"> survey methods as measured relative to ‘Dam Counts’ method (not pictured). As a result, dashed line at zero does not relate to statistical confidence.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6"/>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AB8FCC9" w:rsidR="006F605C" w:rsidRPr="005915DE" w:rsidRDefault="00CE184A" w:rsidP="006F605C">
      <w:pPr>
        <w:spacing w:after="0" w:line="240" w:lineRule="auto"/>
        <w:jc w:val="center"/>
        <w:rPr>
          <w:i/>
          <w:iCs/>
          <w:sz w:val="20"/>
          <w:szCs w:val="20"/>
        </w:rPr>
      </w:pPr>
      <w:r>
        <w:rPr>
          <w:noProof/>
        </w:rPr>
        <w:lastRenderedPageBreak/>
        <w:drawing>
          <wp:inline distT="0" distB="0" distL="0" distR="0" wp14:anchorId="2ACC8275" wp14:editId="7E6B63E9">
            <wp:extent cx="6439407" cy="4720856"/>
            <wp:effectExtent l="0" t="0" r="0" b="3810"/>
            <wp:docPr id="93788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0767" name=""/>
                    <pic:cNvPicPr/>
                  </pic:nvPicPr>
                  <pic:blipFill>
                    <a:blip r:embed="rId27"/>
                    <a:stretch>
                      <a:fillRect/>
                    </a:stretch>
                  </pic:blipFill>
                  <pic:spPr>
                    <a:xfrm>
                      <a:off x="0" y="0"/>
                      <a:ext cx="6450031" cy="4728645"/>
                    </a:xfrm>
                    <a:prstGeom prst="rect">
                      <a:avLst/>
                    </a:prstGeom>
                  </pic:spPr>
                </pic:pic>
              </a:graphicData>
            </a:graphic>
          </wp:inline>
        </w:drawing>
      </w:r>
      <w:r w:rsidR="00350941" w:rsidRPr="00105F6D">
        <w:rPr>
          <w:noProof/>
        </w:rPr>
        <w:t xml:space="preserve"> </w:t>
      </w:r>
    </w:p>
    <w:p w14:paraId="21B4C104" w14:textId="78D7CE51"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 xml:space="preserve">Average directional bias due to choice of survey methods across Oregon </w:t>
      </w:r>
      <w:r w:rsidR="00843ED1">
        <w:rPr>
          <w:i/>
          <w:iCs/>
          <w:sz w:val="20"/>
          <w:szCs w:val="20"/>
        </w:rPr>
        <w:t>coho</w:t>
      </w:r>
      <w:r>
        <w:rPr>
          <w:i/>
          <w:iCs/>
          <w:sz w:val="20"/>
          <w:szCs w:val="20"/>
        </w:rPr>
        <w:t xml:space="preserve"> populations from 1980-2024. Survey method bias estimated relative to ‘Dam Counts’ method. Evolutionarily significant units (ESUs) outlined in black.</w:t>
      </w:r>
      <w:r w:rsidRPr="006F605C">
        <w:rPr>
          <w:noProof/>
        </w:rPr>
        <w:t xml:space="preserve"> </w:t>
      </w:r>
    </w:p>
    <w:p w14:paraId="2E5D7ED6" w14:textId="7C7B6A75" w:rsidR="00F6348E" w:rsidRDefault="0004003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0FC3650C" wp14:editId="6832C598">
            <wp:extent cx="8229600" cy="4354195"/>
            <wp:effectExtent l="0" t="0" r="0" b="8255"/>
            <wp:docPr id="156223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37822" name=""/>
                    <pic:cNvPicPr/>
                  </pic:nvPicPr>
                  <pic:blipFill>
                    <a:blip r:embed="rId28"/>
                    <a:stretch>
                      <a:fillRect/>
                    </a:stretch>
                  </pic:blipFill>
                  <pic:spPr>
                    <a:xfrm>
                      <a:off x="0" y="0"/>
                      <a:ext cx="8229600" cy="4354195"/>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sidR="00523877">
        <w:rPr>
          <w:i/>
          <w:iCs/>
          <w:sz w:val="20"/>
          <w:szCs w:val="20"/>
        </w:rPr>
        <w:t>Precision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1DA8B756" w:rsidR="006F605C" w:rsidRPr="005915DE" w:rsidRDefault="00CE184A" w:rsidP="006F605C">
      <w:pPr>
        <w:spacing w:after="0" w:line="240" w:lineRule="auto"/>
        <w:jc w:val="center"/>
        <w:rPr>
          <w:i/>
          <w:iCs/>
          <w:sz w:val="20"/>
          <w:szCs w:val="20"/>
        </w:rPr>
      </w:pPr>
      <w:r>
        <w:rPr>
          <w:noProof/>
        </w:rPr>
        <w:drawing>
          <wp:inline distT="0" distB="0" distL="0" distR="0" wp14:anchorId="62AD4EBE" wp14:editId="089AF538">
            <wp:extent cx="6595804" cy="4805917"/>
            <wp:effectExtent l="0" t="0" r="0" b="0"/>
            <wp:docPr id="8868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78263" name=""/>
                    <pic:cNvPicPr/>
                  </pic:nvPicPr>
                  <pic:blipFill>
                    <a:blip r:embed="rId29"/>
                    <a:stretch>
                      <a:fillRect/>
                    </a:stretch>
                  </pic:blipFill>
                  <pic:spPr>
                    <a:xfrm>
                      <a:off x="0" y="0"/>
                      <a:ext cx="6602948" cy="4811122"/>
                    </a:xfrm>
                    <a:prstGeom prst="rect">
                      <a:avLst/>
                    </a:prstGeom>
                  </pic:spPr>
                </pic:pic>
              </a:graphicData>
            </a:graphic>
          </wp:inline>
        </w:drawing>
      </w:r>
      <w:r w:rsidR="00350941" w:rsidRPr="00105F6D">
        <w:rPr>
          <w:noProof/>
        </w:rPr>
        <w:t xml:space="preserve"> </w:t>
      </w:r>
    </w:p>
    <w:p w14:paraId="2C73F949" w14:textId="63474F30"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Evolutionarily significant units (ESUs) outlined in black.</w:t>
      </w:r>
      <w:r w:rsidRPr="006F605C">
        <w:rPr>
          <w:i/>
          <w:iCs/>
          <w:noProof/>
          <w:sz w:val="20"/>
          <w:szCs w:val="20"/>
        </w:rPr>
        <w:t xml:space="preserve"> </w:t>
      </w:r>
    </w:p>
    <w:p w14:paraId="1984D7FD" w14:textId="360A7B6D" w:rsidR="006D5B2D" w:rsidRDefault="00BE320C">
      <w:pPr>
        <w:sectPr w:rsidR="006D5B2D" w:rsidSect="006D5B2D">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D571230" wp14:editId="29604E80">
            <wp:extent cx="8229600" cy="4340860"/>
            <wp:effectExtent l="0" t="0" r="0" b="2540"/>
            <wp:docPr id="152124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49224" name=""/>
                    <pic:cNvPicPr/>
                  </pic:nvPicPr>
                  <pic:blipFill>
                    <a:blip r:embed="rId30"/>
                    <a:stretch>
                      <a:fillRect/>
                    </a:stretch>
                  </pic:blipFill>
                  <pic:spPr>
                    <a:xfrm>
                      <a:off x="0" y="0"/>
                      <a:ext cx="8229600" cy="434086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coho from 1980 – 2024. Percentages in bottom left corner reflect the number of years in which the observed value falls within the state estimate’s 95% confidence interval.</w:t>
      </w:r>
      <w:r w:rsidR="00475999">
        <w:rPr>
          <w:i/>
          <w:iCs/>
          <w:sz w:val="20"/>
          <w:szCs w:val="20"/>
        </w:rPr>
        <w:t xml:space="preserve"> Overall, 45.1% of values recorded in coho surveys fall within </w:t>
      </w:r>
      <w:r w:rsidR="005C126E">
        <w:rPr>
          <w:i/>
          <w:iCs/>
          <w:sz w:val="20"/>
          <w:szCs w:val="20"/>
        </w:rPr>
        <w:t xml:space="preserve">their respective population </w:t>
      </w:r>
      <w:r w:rsidR="00475999">
        <w:rPr>
          <w:i/>
          <w:iCs/>
          <w:sz w:val="20"/>
          <w:szCs w:val="20"/>
        </w:rPr>
        <w:t>estimate’s 95% confidence interval.</w:t>
      </w:r>
    </w:p>
    <w:p w14:paraId="1A499BD3" w14:textId="22BEDC24" w:rsidR="00A20E69" w:rsidRDefault="00A20E69" w:rsidP="000E66FA">
      <w:pPr>
        <w:spacing w:after="0" w:line="480" w:lineRule="auto"/>
        <w:rPr>
          <w:b/>
          <w:bCs/>
        </w:rPr>
      </w:pPr>
      <w:r>
        <w:rPr>
          <w:b/>
          <w:bCs/>
        </w:rPr>
        <w:lastRenderedPageBreak/>
        <w:t>Steelhead</w:t>
      </w:r>
    </w:p>
    <w:p w14:paraId="4B3737A3" w14:textId="521F4E9B"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(relative to the ‘Dam counts’ method) </w:t>
      </w:r>
      <w:r>
        <w:t xml:space="preserve">tends to be </w:t>
      </w:r>
      <w:r w:rsidR="009C5BF5">
        <w:t>low</w:t>
      </w:r>
      <w:r>
        <w:t xml:space="preserve"> </w:t>
      </w:r>
      <w:r w:rsidR="00165E63">
        <w:t>(</w:t>
      </w:r>
      <w:r w:rsidR="000351EF">
        <w:t xml:space="preserve">Table 1, </w:t>
      </w:r>
      <w:r w:rsidR="00165E63">
        <w:t xml:space="preserve">Figure 16). </w:t>
      </w:r>
      <w:r w:rsidR="00BA243D">
        <w:t xml:space="preserve">The downward bias of the ‘In-river weir counts’ method, coupled with the fact that this method is almost exclusively used to survey populations of less than 100 fish, means that undercounts due to this method may not be enormous in terms of absolute numbers of fish (Figure 25). </w:t>
      </w:r>
      <w:r>
        <w:t>The two most positively biased methods are</w:t>
      </w:r>
      <w:r w:rsidR="000351EF">
        <w:t xml:space="preserve"> ‘Dam counts + Expansion below dam’ and ‘</w:t>
      </w:r>
      <w:commentRangeStart w:id="38"/>
      <w:commentRangeStart w:id="39"/>
      <w:r>
        <w:t>Total redd counts</w:t>
      </w:r>
      <w:r w:rsidR="000351EF">
        <w:t xml:space="preserve"> * Fish per redd estimate</w:t>
      </w:r>
      <w:r>
        <w:t xml:space="preserve"> </w:t>
      </w:r>
      <w:commentRangeEnd w:id="38"/>
      <w:r w:rsidR="00CD21E4">
        <w:rPr>
          <w:rStyle w:val="CommentReference"/>
          <w:sz w:val="24"/>
          <w:szCs w:val="24"/>
        </w:rPr>
        <w:commentReference w:id="38"/>
      </w:r>
      <w:commentRangeEnd w:id="39"/>
      <w:r w:rsidR="00BB2FEA">
        <w:rPr>
          <w:rStyle w:val="CommentReference"/>
          <w:sz w:val="24"/>
          <w:szCs w:val="24"/>
        </w:rPr>
        <w:commentReference w:id="39"/>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with the Snake River Basin DPS surveyed exclusively using this method</w:t>
      </w:r>
      <w:r w:rsidR="00D36D87">
        <w:t xml:space="preserve"> (Figure 17)</w:t>
      </w:r>
      <w:r w:rsidR="0042437D">
        <w:t>.</w:t>
      </w:r>
      <w:r w:rsidR="00D36D87">
        <w:t xml:space="preserve"> </w:t>
      </w:r>
      <w:commentRangeStart w:id="40"/>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40"/>
      <w:r w:rsidR="005C7381">
        <w:rPr>
          <w:rStyle w:val="CommentReference"/>
          <w:sz w:val="24"/>
          <w:szCs w:val="24"/>
        </w:rPr>
        <w:commentReference w:id="40"/>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41"/>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1"/>
                    <a:stretch>
                      <a:fillRect/>
                    </a:stretch>
                  </pic:blipFill>
                  <pic:spPr>
                    <a:xfrm>
                      <a:off x="0" y="0"/>
                      <a:ext cx="5772150" cy="5486400"/>
                    </a:xfrm>
                    <a:prstGeom prst="rect">
                      <a:avLst/>
                    </a:prstGeom>
                  </pic:spPr>
                </pic:pic>
              </a:graphicData>
            </a:graphic>
          </wp:inline>
        </w:drawing>
      </w:r>
      <w:r>
        <w:t xml:space="preserve">  </w:t>
      </w:r>
      <w:commentRangeEnd w:id="41"/>
      <w:r w:rsidR="003A1857" w:rsidRPr="00B60485">
        <w:rPr>
          <w:rStyle w:val="CommentReference"/>
          <w:i/>
          <w:iCs/>
          <w:sz w:val="20"/>
          <w:szCs w:val="20"/>
        </w:rPr>
        <w:commentReference w:id="41"/>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28E330FE" w14:textId="6B2E7310" w:rsidR="00196729" w:rsidRDefault="005940AA" w:rsidP="00A16DFE">
      <w:pPr>
        <w:spacing w:after="0" w:line="480" w:lineRule="auto"/>
        <w:ind w:firstLine="720"/>
      </w:pPr>
      <w:r>
        <w:lastRenderedPageBreak/>
        <w:t>Due to the relatively low absolute bias associated with the majority of steelhead survey methods, observations of steelhead populations tend to be closely associated with the underlying state estimates</w:t>
      </w:r>
      <w:r w:rsidR="00E34887">
        <w:t xml:space="preserve"> (Figure 25)</w:t>
      </w:r>
      <w:r>
        <w:t xml:space="preserve">. The Walla Walla River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described in some Chinook and coho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195F4E">
        <w:t>The frequent employment of the ‘Peak redd count expansion * Fish per redd estimate’ method, the third most upwardly biased method employed in steelhead surveys, is likely responsible for s</w:t>
      </w:r>
      <w:r>
        <w:t>ome populations (the Calapooia River, Molalla River, and South Santiam River as examples) exhibit</w:t>
      </w:r>
      <w:r w:rsidR="00195F4E">
        <w:t>ing</w:t>
      </w:r>
      <w:r>
        <w:t xml:space="preserve"> similar behavior to the coho populations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p>
    <w:p w14:paraId="1E963F41" w14:textId="7C262C8C" w:rsidR="00B60485" w:rsidRPr="00B0752E" w:rsidRDefault="00B60485" w:rsidP="00195F4E">
      <w:pPr>
        <w:spacing w:after="0" w:line="480" w:lineRule="auto"/>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0A455360" w:rsidR="006F605C" w:rsidRDefault="00771F3E" w:rsidP="006F605C">
      <w:pPr>
        <w:spacing w:after="0" w:line="240" w:lineRule="auto"/>
        <w:rPr>
          <w:i/>
          <w:iCs/>
          <w:sz w:val="20"/>
          <w:szCs w:val="20"/>
        </w:rPr>
      </w:pPr>
      <w:r>
        <w:rPr>
          <w:noProof/>
        </w:rPr>
        <w:lastRenderedPageBreak/>
        <w:drawing>
          <wp:inline distT="0" distB="0" distL="0" distR="0" wp14:anchorId="39CF1847" wp14:editId="62975C0E">
            <wp:extent cx="8229600" cy="4314825"/>
            <wp:effectExtent l="0" t="0" r="0" b="9525"/>
            <wp:docPr id="101194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44572" name=""/>
                    <pic:cNvPicPr/>
                  </pic:nvPicPr>
                  <pic:blipFill>
                    <a:blip r:embed="rId32"/>
                    <a:stretch>
                      <a:fillRect/>
                    </a:stretch>
                  </pic:blipFill>
                  <pic:spPr>
                    <a:xfrm>
                      <a:off x="0" y="0"/>
                      <a:ext cx="8229600" cy="4314825"/>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w:t>
      </w:r>
      <w:r w:rsidR="00843ED1">
        <w:rPr>
          <w:i/>
          <w:iCs/>
          <w:sz w:val="20"/>
          <w:szCs w:val="20"/>
        </w:rPr>
        <w:t>steelhead</w:t>
      </w:r>
      <w:r w:rsidR="00D44D8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 xml:space="preserve">Observational variance in </w:t>
      </w:r>
      <w:r w:rsidR="00843ED1">
        <w:rPr>
          <w:i/>
          <w:iCs/>
          <w:sz w:val="20"/>
          <w:szCs w:val="20"/>
        </w:rPr>
        <w:t>coho</w:t>
      </w:r>
      <w:r w:rsidR="00504058">
        <w:rPr>
          <w:i/>
          <w:iCs/>
          <w:sz w:val="20"/>
          <w:szCs w:val="20"/>
        </w:rPr>
        <w:t xml:space="preserve"> survey methods. Color groupings are non-scientific and intended only as reference</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3"/>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E71F6B">
        <w:rPr>
          <w:noProof/>
        </w:rPr>
        <w:lastRenderedPageBreak/>
        <w:drawing>
          <wp:inline distT="0" distB="0" distL="0" distR="0" wp14:anchorId="2F5A2C80" wp14:editId="2BFDD2BC">
            <wp:extent cx="8229600" cy="4447540"/>
            <wp:effectExtent l="0" t="0" r="0" b="0"/>
            <wp:docPr id="63074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43242" name=""/>
                    <pic:cNvPicPr/>
                  </pic:nvPicPr>
                  <pic:blipFill>
                    <a:blip r:embed="rId34"/>
                    <a:stretch>
                      <a:fillRect/>
                    </a:stretch>
                  </pic:blipFill>
                  <pic:spPr>
                    <a:xfrm>
                      <a:off x="0" y="0"/>
                      <a:ext cx="8229600" cy="4447540"/>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Survey method bias estimated relative to ‘Dam Counts’ method. </w:t>
      </w:r>
    </w:p>
    <w:p w14:paraId="16EC6CED" w14:textId="262A74AB" w:rsidR="00153748" w:rsidRDefault="006D1F4A" w:rsidP="00EB44EB">
      <w:pPr>
        <w:spacing w:after="0" w:line="240" w:lineRule="auto"/>
        <w:rPr>
          <w:i/>
          <w:iCs/>
          <w:sz w:val="20"/>
          <w:szCs w:val="20"/>
        </w:rPr>
      </w:pPr>
      <w:r>
        <w:rPr>
          <w:noProof/>
        </w:rPr>
        <w:lastRenderedPageBreak/>
        <w:drawing>
          <wp:inline distT="0" distB="0" distL="0" distR="0" wp14:anchorId="5FC242EA" wp14:editId="002D8BD5">
            <wp:extent cx="8229600" cy="4340860"/>
            <wp:effectExtent l="0" t="0" r="0" b="2540"/>
            <wp:docPr id="92076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67166" name=""/>
                    <pic:cNvPicPr/>
                  </pic:nvPicPr>
                  <pic:blipFill>
                    <a:blip r:embed="rId35"/>
                    <a:stretch>
                      <a:fillRect/>
                    </a:stretch>
                  </pic:blipFill>
                  <pic:spPr>
                    <a:xfrm>
                      <a:off x="0" y="0"/>
                      <a:ext cx="8229600" cy="434086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sidR="00523877">
        <w:rPr>
          <w:i/>
          <w:iCs/>
          <w:sz w:val="20"/>
          <w:szCs w:val="20"/>
        </w:rPr>
        <w:t>Precision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1F4EDB24" w:rsidR="00374E8F" w:rsidRPr="00475999" w:rsidRDefault="00E71F6B" w:rsidP="00475999">
      <w:pPr>
        <w:rPr>
          <w:bCs/>
        </w:rPr>
      </w:pPr>
      <w:r>
        <w:rPr>
          <w:noProof/>
        </w:rPr>
        <w:lastRenderedPageBreak/>
        <w:drawing>
          <wp:inline distT="0" distB="0" distL="0" distR="0" wp14:anchorId="5CA9ADEE" wp14:editId="202F4B13">
            <wp:extent cx="8229600" cy="4410710"/>
            <wp:effectExtent l="0" t="0" r="0" b="8890"/>
            <wp:docPr id="88728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5200" name=""/>
                    <pic:cNvPicPr/>
                  </pic:nvPicPr>
                  <pic:blipFill>
                    <a:blip r:embed="rId36"/>
                    <a:stretch>
                      <a:fillRect/>
                    </a:stretch>
                  </pic:blipFill>
                  <pic:spPr>
                    <a:xfrm>
                      <a:off x="0" y="0"/>
                      <a:ext cx="8229600" cy="4410710"/>
                    </a:xfrm>
                    <a:prstGeom prst="rect">
                      <a:avLst/>
                    </a:prstGeom>
                  </pic:spPr>
                </pic:pic>
              </a:graphicData>
            </a:graphic>
          </wp:inline>
        </w:drawing>
      </w:r>
      <w:r w:rsidR="00C60975"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r w:rsidR="00BE320C">
        <w:rPr>
          <w:noProof/>
        </w:rPr>
        <w:lastRenderedPageBreak/>
        <w:drawing>
          <wp:inline distT="0" distB="0" distL="0" distR="0" wp14:anchorId="49615F67" wp14:editId="03145E0B">
            <wp:extent cx="8229600" cy="4345305"/>
            <wp:effectExtent l="0" t="0" r="0" b="0"/>
            <wp:docPr id="78407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071909" name=""/>
                    <pic:cNvPicPr/>
                  </pic:nvPicPr>
                  <pic:blipFill>
                    <a:blip r:embed="rId37"/>
                    <a:stretch>
                      <a:fillRect/>
                    </a:stretch>
                  </pic:blipFill>
                  <pic:spPr>
                    <a:xfrm>
                      <a:off x="0" y="0"/>
                      <a:ext cx="8229600" cy="4345305"/>
                    </a:xfrm>
                    <a:prstGeom prst="rect">
                      <a:avLst/>
                    </a:prstGeom>
                  </pic:spPr>
                </pic:pic>
              </a:graphicData>
            </a:graphic>
          </wp:inline>
        </w:drawing>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Overall, 69.7% of values recorded in steelhead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FEA879" w14:textId="77777777" w:rsidR="001B2157" w:rsidRPr="00B06C31" w:rsidRDefault="001B2157" w:rsidP="001B2157">
      <w:pPr>
        <w:spacing w:after="0" w:line="480" w:lineRule="auto"/>
        <w:rPr>
          <w:b/>
          <w:bCs/>
          <w:u w:val="single"/>
        </w:rPr>
      </w:pPr>
      <w:commentRangeStart w:id="42"/>
      <w:r w:rsidRPr="00B06C31">
        <w:rPr>
          <w:b/>
          <w:bCs/>
          <w:u w:val="single"/>
        </w:rPr>
        <w:lastRenderedPageBreak/>
        <w:t>Discussion</w:t>
      </w:r>
      <w:commentRangeEnd w:id="42"/>
      <w:r w:rsidRPr="00B06C31">
        <w:rPr>
          <w:rStyle w:val="CommentReference"/>
          <w:b/>
          <w:bCs/>
          <w:sz w:val="24"/>
          <w:szCs w:val="24"/>
          <w:u w:val="single"/>
        </w:rPr>
        <w:commentReference w:id="42"/>
      </w:r>
    </w:p>
    <w:p w14:paraId="24921EB3" w14:textId="77777777" w:rsidR="001B2157" w:rsidRDefault="001B2157" w:rsidP="001B2157">
      <w:pPr>
        <w:spacing w:after="0" w:line="480" w:lineRule="auto"/>
        <w:ind w:firstLine="720"/>
      </w:pPr>
      <w:commentRangeStart w:id="43"/>
      <w:commentRangeStart w:id="44"/>
      <w:r>
        <w:t>Significant efforts and expenditures have been made in Oregon towards the restoration and recovery of these fish (U.S. Fish and Wildlife Service 1989 – 2022, Moore et al. 2022, Jaeger and Scheuerell 2023). Understanding levels of precision in salmonid survey methods will enable fisheries managers to better understand the reliability of abundance estimates upon which they must make decisions, while identifying</w:t>
      </w:r>
      <w:commentRangeStart w:id="45"/>
      <w:commentRangeStart w:id="46"/>
      <w:r>
        <w:t xml:space="preserve"> directional bias in these survey methods will allow for more accurate determinations of the cost-effectiveness of conservation effort</w:t>
      </w:r>
      <w:commentRangeEnd w:id="45"/>
      <w:r>
        <w:rPr>
          <w:rStyle w:val="CommentReference"/>
          <w:sz w:val="24"/>
          <w:szCs w:val="24"/>
        </w:rPr>
        <w:commentReference w:id="45"/>
      </w:r>
      <w:commentRangeEnd w:id="46"/>
      <w:r>
        <w:rPr>
          <w:rStyle w:val="CommentReference"/>
          <w:sz w:val="24"/>
          <w:szCs w:val="24"/>
        </w:rPr>
        <w:commentReference w:id="46"/>
      </w:r>
      <w:r>
        <w:t xml:space="preserve">s. Low precision in survey methods may lead to undetected shifts in population regimes, while consistent directional bias could lead to over- or under-estimation of target populations. </w:t>
      </w:r>
      <w:commentRangeEnd w:id="43"/>
      <w:r>
        <w:rPr>
          <w:rStyle w:val="CommentReference"/>
          <w:sz w:val="24"/>
          <w:szCs w:val="24"/>
        </w:rPr>
        <w:commentReference w:id="43"/>
      </w:r>
      <w:commentRangeEnd w:id="44"/>
      <w:r w:rsidR="00BF7CF7">
        <w:rPr>
          <w:rStyle w:val="CommentReference"/>
          <w:sz w:val="24"/>
          <w:szCs w:val="24"/>
        </w:rPr>
        <w:commentReference w:id="44"/>
      </w:r>
    </w:p>
    <w:p w14:paraId="14B06C5B" w14:textId="77777777" w:rsidR="001B2157" w:rsidRDefault="001B2157" w:rsidP="001B2157">
      <w:pPr>
        <w:spacing w:after="0" w:line="480" w:lineRule="auto"/>
      </w:pPr>
      <w:r>
        <w:tab/>
        <w:t>Generally speaking, most survey methods examined in this study were not strongly biased and did not have particularly low precision across most species. While some exceptions exist (and will be discussed in finer detail shortly), overall this speaks to the expertise of the fisheries biologists and technicians who have designed, refined, and regularly implement these survey methods. Due to their accuracy, these “well behaved” methods do not necessitate prolonged discussion, so it is worth acknowledging that most survey methods examined are generally sound.</w:t>
      </w:r>
    </w:p>
    <w:p w14:paraId="4F39A2CB" w14:textId="332F40B9" w:rsidR="001B2157" w:rsidRDefault="001B2157" w:rsidP="001B2157">
      <w:pPr>
        <w:spacing w:after="0" w:line="480" w:lineRule="auto"/>
        <w:ind w:firstLine="720"/>
      </w:pPr>
      <w:r>
        <w:t>It is evident that high level patterns in survey method accuracy (bias and precision) occur at the level of species.</w:t>
      </w:r>
      <w:r w:rsidR="00697C8A">
        <w:t xml:space="preserve"> The majority of Chinook survey methods are not heavily directionally biased, but the most extreme survey method biases found by this study occur in the monitoring of this species (‘Area Under Curve: Population (Total live spawners)’ and ‘Peak spawner count expansion’). Similarly, most methods employed to survey Chinook are highly precise, but t</w:t>
      </w:r>
      <w:r w:rsidR="00F869AB">
        <w:t>he</w:t>
      </w:r>
      <w:r w:rsidR="00697C8A">
        <w:t xml:space="preserve"> ‘Area Under Curve: Population (Total live spawners)’ is the least</w:t>
      </w:r>
      <w:r w:rsidR="00F869AB">
        <w:t xml:space="preserve"> precise of any method analyzed </w:t>
      </w:r>
      <w:r w:rsidR="00F869AB">
        <w:lastRenderedPageBreak/>
        <w:t>in this study when applied to Chinook populations.</w:t>
      </w:r>
      <w:r w:rsidR="00230354">
        <w:t xml:space="preserve"> As mentioned in the results section, coho survey methods exhibit a strong tendency towards upward bias, leaving these populations the most likely to be overcounted among the three species examined. They are also generally the least precise, perhaps due to the timing of coho migration or the generally larger sizes of coho populations relative to the other species in this work. </w:t>
      </w:r>
      <w:r w:rsidR="00697C8A">
        <w:t xml:space="preserve"> </w:t>
      </w:r>
      <w:r w:rsidR="00D45350">
        <w:t>STEELIES</w:t>
      </w:r>
    </w:p>
    <w:p w14:paraId="71272760" w14:textId="77777777" w:rsidR="001B2157" w:rsidRDefault="001B2157" w:rsidP="001B2157">
      <w:pPr>
        <w:spacing w:after="0" w:line="480" w:lineRule="auto"/>
        <w:ind w:firstLine="720"/>
      </w:pPr>
      <w:r>
        <w:t>I find that coho populations to be the most inaccurately counted in this study (45.1%), almost entirely due to overcounts resulting from both the survey methods employed in monitoring these populations all having positive biases and to coho having the largest populations of any of the three species included in this study, meaning these biases often represent larger numbers of fish. Meanwhile I find that steelhead are the most accurately surveyed species in this study (69.7%).</w:t>
      </w:r>
    </w:p>
    <w:p w14:paraId="061E81B8" w14:textId="77777777" w:rsidR="001B2157" w:rsidRDefault="001B2157" w:rsidP="001B2157">
      <w:pPr>
        <w:spacing w:after="0" w:line="480" w:lineRule="auto"/>
        <w:ind w:firstLine="720"/>
      </w:pPr>
      <w:r>
        <w:t xml:space="preserve">Among those populations in which the observed time series differs drastically from the underlying state estimated by MARSS models, the majority are instances in which the population has been overcounted due to upward bias inherent to the survey method or methods employed. Overcounting itself isn’t inherently an issue, as any survey method will be associated with some inherent directional bias and observation error (Parsons and Skalski 2010). If fisheries biologists and managers have at least a rough idea of bias tendencies of the survey methods being employed and are able to adjust abundance estimates accordingly (the same applies to undercounting, although that doesn’t occur in this study). These sorts of adjustments for statistical bias in survey methods are commonplace in the ecology literature (Pearse et al. 2008, Conn et al. 2013, Dorazio 2014, Fithian et al. 2015). </w:t>
      </w:r>
    </w:p>
    <w:p w14:paraId="5B631C6D" w14:textId="77777777" w:rsidR="001B2157" w:rsidRDefault="001B2157" w:rsidP="001B2157">
      <w:pPr>
        <w:spacing w:after="0" w:line="480" w:lineRule="auto"/>
      </w:pPr>
      <w:r>
        <w:lastRenderedPageBreak/>
        <w:tab/>
      </w:r>
      <w:commentRangeStart w:id="47"/>
      <w:r w:rsidRPr="0025049F">
        <w:t>Moving</w:t>
      </w:r>
      <w:commentRangeEnd w:id="47"/>
      <w:r w:rsidRPr="0025049F">
        <w:rPr>
          <w:rStyle w:val="CommentReference"/>
          <w:sz w:val="24"/>
          <w:szCs w:val="24"/>
        </w:rPr>
        <w:commentReference w:id="47"/>
      </w:r>
      <w:r w:rsidRPr="0025049F">
        <w:t xml:space="preserve"> on to the discussion of the effects of these methods observed at the level of conservation decision making, the most notable discussion points are the coho ESUs.</w:t>
      </w:r>
    </w:p>
    <w:p w14:paraId="04465E5D" w14:textId="77777777" w:rsidR="001B2157" w:rsidRDefault="001B2157" w:rsidP="001B2157">
      <w:pPr>
        <w:spacing w:after="0" w:line="480" w:lineRule="auto"/>
        <w:ind w:firstLine="720"/>
      </w:pPr>
      <w:commentRangeStart w:id="48"/>
      <w:r w:rsidRPr="0025049F">
        <w:t xml:space="preserve">Moving </w:t>
      </w:r>
      <w:commentRangeEnd w:id="48"/>
      <w:r w:rsidRPr="0025049F">
        <w:rPr>
          <w:rStyle w:val="CommentReference"/>
          <w:sz w:val="24"/>
          <w:szCs w:val="24"/>
        </w:rPr>
        <w:commentReference w:id="48"/>
      </w:r>
      <w:r w:rsidRPr="0025049F">
        <w:t>on to the discussion of the effects of these methods observed at the level of conservation decision making, the most notable discussion points are the Upper Willamette River DPS for steelhead</w:t>
      </w:r>
      <w:r>
        <w:t>. The high level of precision associated with steelhead survey methods is also noteworthy.  This may be due to the large number of methods associated with counts at dams and weirs employed in steelhead surveys (Table 2). Of course, it is not practicable to implement these measures for all populations (in the case of a dam count this is particularly self-evident), but this does provide compelling evidence that these methods should be employed when possible. The relatively low variance associated with the Chinook survey methods ‘Dam counts’ and ‘Dam counts + Expansion below dam’ would seem to corroborate this. It should however be noted that the method ‘Dam counts + Expansion below dam’, which is highly precise for Chinook and steelhead surveys, is fairly imprecise when applied to surveying coho, once again reinforcing a ‘right tool for the job’ mentality.</w:t>
      </w:r>
    </w:p>
    <w:p w14:paraId="1A9EC451" w14:textId="77777777" w:rsidR="001B2157" w:rsidRDefault="001B2157" w:rsidP="001B2157">
      <w:pPr>
        <w:spacing w:after="0" w:line="480" w:lineRule="auto"/>
        <w:ind w:firstLine="720"/>
      </w:pPr>
      <w:r>
        <w:t>CHINOOK GRAPH</w:t>
      </w:r>
    </w:p>
    <w:p w14:paraId="57DE298C" w14:textId="77777777" w:rsidR="001B2157" w:rsidRDefault="001B2157" w:rsidP="001B2157">
      <w:pPr>
        <w:spacing w:after="0" w:line="480" w:lineRule="auto"/>
        <w:ind w:firstLine="720"/>
      </w:pPr>
      <w:r>
        <w:t xml:space="preserve">The same survey method can have drastically different behavior across species. </w:t>
      </w:r>
      <w:commentRangeStart w:id="49"/>
      <w:r>
        <w:t>One exception to this is the ‘Area Under Curve: Population (Total live spawners)’ method, which is of particular interest dure to its radically different behavior between species. When applied to surveying Chinook</w:t>
      </w:r>
      <w:commentRangeEnd w:id="49"/>
      <w:r>
        <w:rPr>
          <w:rStyle w:val="CommentReference"/>
          <w:sz w:val="24"/>
          <w:szCs w:val="24"/>
        </w:rPr>
        <w:commentReference w:id="49"/>
      </w:r>
      <w:r>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its relative bias is middle of the pack among coho survey methods (Table 1). This illustrates a need </w:t>
      </w:r>
      <w:r>
        <w:lastRenderedPageBreak/>
        <w:t xml:space="preserve">for practitioners to have deep understanding of both the survey methods being applied and the target species. Likely there are no bad tools, just tools that are better or worse fits for the job at hand. </w:t>
      </w:r>
    </w:p>
    <w:p w14:paraId="00ECBCB3" w14:textId="77777777" w:rsidR="001B2157" w:rsidRDefault="001B2157" w:rsidP="001B2157">
      <w:pPr>
        <w:spacing w:after="0" w:line="480" w:lineRule="auto"/>
        <w:ind w:firstLine="720"/>
      </w:pPr>
      <w:r>
        <w:t>SPACE FOR PARAGRAPGH REFERENCING SURVEY METHOD ACCURACY BY DIFFERENT POPULATION SIZES</w:t>
      </w:r>
    </w:p>
    <w:p w14:paraId="150FD487" w14:textId="77777777" w:rsidR="001B2157" w:rsidRDefault="001B2157" w:rsidP="001B2157">
      <w:pPr>
        <w:spacing w:after="0" w:line="480" w:lineRule="auto"/>
      </w:pPr>
      <w:r>
        <w:tab/>
        <w:t>In many cases the methods employed by fisheries biologists and technicians are chosen due to factors beyond the scope of this study. Among the factors driving these decisions are the species, size, and run timing of the population being surveyed, the physical characteristics of the waterbody and stream network in which the population resides, and the number of labor-hours required to effectively survey a specific population using a particular method over another (Parsons and Skalski 2010, Washington Department of Fish and Wildlife 2018, Oregon Department of Fish and Wildlife 2024b). 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1B590D0C" w14:textId="77777777" w:rsidR="001B2157" w:rsidRDefault="001B2157" w:rsidP="001B2157">
      <w:pPr>
        <w:spacing w:after="0" w:line="480" w:lineRule="auto"/>
      </w:pPr>
      <w:r>
        <w:tab/>
        <w:t>SOME KIND OF CLOSING PARAGRAPH</w:t>
      </w:r>
    </w:p>
    <w:p w14:paraId="0537A6AA" w14:textId="77777777" w:rsidR="001B2157" w:rsidRDefault="001B2157">
      <w:pPr>
        <w:rPr>
          <w:b/>
          <w:bCs/>
        </w:rPr>
      </w:pPr>
      <w:r>
        <w:rPr>
          <w:b/>
          <w:bCs/>
        </w:rPr>
        <w:br w:type="page"/>
      </w:r>
    </w:p>
    <w:p w14:paraId="075754D0" w14:textId="5C24A76B"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P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lastRenderedPageBreak/>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18716A26" w14:textId="6B9A9C70" w:rsidR="0029248E" w:rsidRP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lastRenderedPageBreak/>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8"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9"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0"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1"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 xml:space="preserve">Tagging, Telemetry, and Marking Measures for Monitoring fish Populations: A compendium of new and recent science for use in informing technique </w:t>
      </w:r>
      <w:r w:rsidRPr="004A3510">
        <w:rPr>
          <w:i/>
          <w:iCs/>
        </w:rPr>
        <w:lastRenderedPageBreak/>
        <w:t>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2"/>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00E746F" w:rsidR="00EE1018" w:rsidRDefault="00EE1018"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commentRangeStart w:id="50"/>
      <w:r>
        <w:rPr>
          <w:noProof/>
        </w:rPr>
        <w:drawing>
          <wp:inline distT="0" distB="0" distL="0" distR="0" wp14:anchorId="252B6DF3" wp14:editId="4BC0ED2E">
            <wp:extent cx="8229600" cy="4371975"/>
            <wp:effectExtent l="0" t="0" r="0" b="9525"/>
            <wp:docPr id="1743350877" name="Picture 1" descr="The image shows a line graph depicting the estimated population numbers of Chinook salmon across different ecosystem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Picture 1" descr="The image shows a line graph depicting the estimated population numbers of Chinook salmon across different ecosystems from 1980 to 2020.&#10;&#10;AI-generated content may be incorrect."/>
                    <pic:cNvPicPr/>
                  </pic:nvPicPr>
                  <pic:blipFill>
                    <a:blip r:embed="rId43"/>
                    <a:stretch>
                      <a:fillRect/>
                    </a:stretch>
                  </pic:blipFill>
                  <pic:spPr>
                    <a:xfrm>
                      <a:off x="0" y="0"/>
                      <a:ext cx="8229600" cy="4371975"/>
                    </a:xfrm>
                    <a:prstGeom prst="rect">
                      <a:avLst/>
                    </a:prstGeom>
                  </pic:spPr>
                </pic:pic>
              </a:graphicData>
            </a:graphic>
          </wp:inline>
        </w:drawing>
      </w:r>
      <w:commentRangeEnd w:id="50"/>
      <w:r w:rsidRPr="00143A1C">
        <w:rPr>
          <w:rStyle w:val="CommentReference"/>
          <w:noProof/>
          <w:sz w:val="24"/>
          <w:szCs w:val="24"/>
        </w:rPr>
        <w:commentReference w:id="50"/>
      </w:r>
      <w:r w:rsidRPr="00143A1C">
        <w:rPr>
          <w:noProof/>
        </w:rPr>
        <w:t xml:space="preserve"> </w:t>
      </w:r>
      <w:r>
        <w:rPr>
          <w:i/>
          <w:iCs/>
          <w:sz w:val="20"/>
          <w:szCs w:val="20"/>
        </w:rPr>
        <w:t xml:space="preserve">Figure </w:t>
      </w:r>
      <w:r w:rsidR="006D5B2D">
        <w:rPr>
          <w:i/>
          <w:iCs/>
          <w:sz w:val="20"/>
          <w:szCs w:val="20"/>
        </w:rPr>
        <w:t>B1</w:t>
      </w:r>
      <w:r w:rsidRPr="005915DE">
        <w:rPr>
          <w:i/>
          <w:iCs/>
          <w:sz w:val="20"/>
          <w:szCs w:val="20"/>
        </w:rPr>
        <w:t xml:space="preserve">: </w:t>
      </w:r>
      <w:r>
        <w:rPr>
          <w:i/>
          <w:iCs/>
          <w:sz w:val="20"/>
          <w:szCs w:val="20"/>
        </w:rPr>
        <w:t>Evolutionarily Significant Unit level comparison of fitted abundance estimates (red) and observations (blue) of Oregon Chinook from 1980 – 2024.</w:t>
      </w:r>
    </w:p>
    <w:p w14:paraId="53F86C69" w14:textId="7B4E3405"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4"/>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6D5B2D">
        <w:rPr>
          <w:noProof/>
        </w:rPr>
        <w:lastRenderedPageBreak/>
        <w:drawing>
          <wp:inline distT="0" distB="0" distL="0" distR="0" wp14:anchorId="1E575560" wp14:editId="1814F99C">
            <wp:extent cx="8229600" cy="4390390"/>
            <wp:effectExtent l="0" t="0" r="0" b="0"/>
            <wp:docPr id="1620193727" name="Picture 1" descr="The image shows a line graph comparing the population estimates of coho salmon in the Lower Columbia River ESU and Oregon Coast ESU from 1980 to 2020, with data points for 1980, 1990, 2000, 201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93727" name="Picture 1" descr="The image shows a line graph comparing the population estimates of coho salmon in the Lower Columbia River ESU and Oregon Coast ESU from 1980 to 2020, with data points for 1980, 1990, 2000, 2010, and 2020.&#10;&#10;AI-generated content may be incorrect."/>
                    <pic:cNvPicPr/>
                  </pic:nvPicPr>
                  <pic:blipFill>
                    <a:blip r:embed="rId45"/>
                    <a:stretch>
                      <a:fillRect/>
                    </a:stretch>
                  </pic:blipFill>
                  <pic:spPr>
                    <a:xfrm>
                      <a:off x="0" y="0"/>
                      <a:ext cx="8229600" cy="4390390"/>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46"/>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46FC6E50" w:rsidR="006D5B2D" w:rsidRDefault="006D5B2D" w:rsidP="006D5B2D">
      <w:pPr>
        <w:rPr>
          <w:i/>
          <w:iCs/>
          <w:sz w:val="20"/>
          <w:szCs w:val="20"/>
        </w:rPr>
      </w:pPr>
      <w:r>
        <w:rPr>
          <w:noProof/>
        </w:rPr>
        <w:lastRenderedPageBreak/>
        <w:drawing>
          <wp:inline distT="0" distB="0" distL="0" distR="0" wp14:anchorId="39FFE4E6" wp14:editId="17065FAC">
            <wp:extent cx="8229600" cy="4471035"/>
            <wp:effectExtent l="0" t="0" r="0" b="5715"/>
            <wp:docPr id="189440495" name="Picture 1" descr="The diagram shows time series data of different Steelhead populations in various river basins from 1980 to 2020, with observe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Picture 1" descr="The diagram shows time series data of different Steelhead populations in various river basins from 1980 to 2020, with observed estimates.&#10;&#10;AI-generated content may be incorrect."/>
                    <pic:cNvPicPr/>
                  </pic:nvPicPr>
                  <pic:blipFill>
                    <a:blip r:embed="rId47"/>
                    <a:stretch>
                      <a:fillRect/>
                    </a:stretch>
                  </pic:blipFill>
                  <pic:spPr>
                    <a:xfrm>
                      <a:off x="0" y="0"/>
                      <a:ext cx="8229600" cy="4471035"/>
                    </a:xfrm>
                    <a:prstGeom prst="rect">
                      <a:avLst/>
                    </a:prstGeom>
                  </pic:spPr>
                </pic:pic>
              </a:graphicData>
            </a:graphic>
          </wp:inline>
        </w:drawing>
      </w:r>
      <w:r w:rsidRPr="00D01C26">
        <w:rPr>
          <w:noProof/>
        </w:rPr>
        <w:t xml:space="preserve"> </w:t>
      </w:r>
      <w:r>
        <w:rPr>
          <w:i/>
          <w:iCs/>
          <w:sz w:val="20"/>
          <w:szCs w:val="20"/>
        </w:rPr>
        <w:t>Figure B5</w:t>
      </w:r>
      <w:r w:rsidRPr="005915DE">
        <w:rPr>
          <w:i/>
          <w:iCs/>
          <w:sz w:val="20"/>
          <w:szCs w:val="20"/>
        </w:rPr>
        <w:t>:</w:t>
      </w:r>
      <w:r w:rsidRPr="00504058">
        <w:rPr>
          <w:i/>
          <w:iCs/>
          <w:sz w:val="20"/>
          <w:szCs w:val="20"/>
        </w:rPr>
        <w:t xml:space="preserve"> </w:t>
      </w:r>
      <w:r>
        <w:rPr>
          <w:i/>
          <w:iCs/>
          <w:sz w:val="20"/>
          <w:szCs w:val="20"/>
        </w:rPr>
        <w:t>Distinct Population Segment level comparison of fitted abundance estimates (red) and observations (blue) of Oregon steelhead from 1980 – 2024.</w:t>
      </w:r>
      <w:r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48"/>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49"/>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6F99AECF"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0"/>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1"/>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2"/>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D65F2">
        <w:rPr>
          <w:i/>
          <w:iCs/>
          <w:sz w:val="20"/>
          <w:szCs w:val="20"/>
        </w:rPr>
        <w:tab/>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3"/>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4"/>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5"/>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56"/>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57"/>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58"/>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59"/>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0"/>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1" w:author="Brian E McGreal" w:date="2026-09-09T17:53:00Z" w:initials="BM">
    <w:p w14:paraId="1CDA7297" w14:textId="77777777" w:rsidR="006B0B65" w:rsidRDefault="006B0B65" w:rsidP="006B0B65">
      <w:pPr>
        <w:pStyle w:val="CommentText"/>
      </w:pPr>
      <w:r>
        <w:rPr>
          <w:rStyle w:val="CommentReference"/>
        </w:rPr>
        <w:annotationRef/>
      </w:r>
      <w:r>
        <w:t>Is this too prescriptive?</w:t>
      </w:r>
    </w:p>
  </w:comment>
  <w:comment w:id="2" w:author="Brian E McGreal" w:date="2026-09-10T11:38:00Z" w:initials="BM">
    <w:p w14:paraId="6F534568" w14:textId="77777777" w:rsidR="00C26E3D" w:rsidRDefault="00C26E3D" w:rsidP="00C26E3D">
      <w:pPr>
        <w:pStyle w:val="CommentText"/>
      </w:pPr>
      <w:r>
        <w:rPr>
          <w:rStyle w:val="CommentReference"/>
        </w:rPr>
        <w:annotationRef/>
      </w:r>
      <w:r>
        <w:t>This is clunky with two parentheses right next to each other</w:t>
      </w:r>
    </w:p>
  </w:comment>
  <w:comment w:id="3"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4" w:author="Brian E McGreal" w:date="2026-09-10T11:43:00Z" w:initials="BM">
    <w:p w14:paraId="66FD9FD7" w14:textId="77777777" w:rsidR="00C26E3D" w:rsidRDefault="00C26E3D" w:rsidP="00C26E3D">
      <w:pPr>
        <w:pStyle w:val="CommentText"/>
      </w:pPr>
      <w:r>
        <w:rPr>
          <w:rStyle w:val="CommentReference"/>
        </w:rPr>
        <w:annotationRef/>
      </w:r>
      <w:r>
        <w:t>Is this better? If not I’ll just cut the whole sentence</w:t>
      </w:r>
    </w:p>
  </w:comment>
  <w:comment w:id="5"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6"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7"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8"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9"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0"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11"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2"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3"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4"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5"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16"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17" w:author="Brian E McGreal" w:date="2026-09-10T13:30:00Z" w:initials="BM">
    <w:p w14:paraId="598A1FC2" w14:textId="77777777" w:rsidR="005E332C" w:rsidRDefault="005E332C" w:rsidP="005E332C">
      <w:pPr>
        <w:pStyle w:val="CommentText"/>
      </w:pPr>
      <w:r>
        <w:rPr>
          <w:rStyle w:val="CommentReference"/>
        </w:rPr>
        <w:annotationRef/>
      </w:r>
      <w:r>
        <w:t>Or specific numeric ranges (i.e. populations in the 100s vs populations in the 1000s vs populations in the 10000s)</w:t>
      </w:r>
    </w:p>
  </w:comment>
  <w:comment w:id="18" w:author="Brian E McGreal" w:date="2026-09-10T13:41:00Z" w:initials="BM">
    <w:p w14:paraId="6464D840" w14:textId="77777777" w:rsidR="00E90F89" w:rsidRDefault="00E90F89" w:rsidP="00E90F89">
      <w:pPr>
        <w:pStyle w:val="CommentText"/>
      </w:pPr>
      <w:r>
        <w:rPr>
          <w:rStyle w:val="CommentReference"/>
        </w:rPr>
        <w:annotationRef/>
      </w:r>
      <w:r>
        <w:t>Proportions are available in “NCA_NOSA_Methods_ODFW_20260204.xlsx”, sheet = ODFW_MethodsKey, variable = Ratio of Methods</w:t>
      </w:r>
    </w:p>
  </w:comment>
  <w:comment w:id="19" w:author="Brian E McGreal" w:date="2026-09-10T13:42:00Z" w:initials="BM">
    <w:p w14:paraId="5CE74E98" w14:textId="77777777" w:rsidR="00E90F89" w:rsidRDefault="00E90F89" w:rsidP="00E90F89">
      <w:pPr>
        <w:pStyle w:val="CommentText"/>
      </w:pPr>
      <w:r>
        <w:rPr>
          <w:rStyle w:val="CommentReference"/>
        </w:rPr>
        <w:annotationRef/>
      </w:r>
      <w:r>
        <w:t>It only lists one proportion per method (so like method 11 for example would have 30:70 proportions every time it is used). Seems a little too neat but it makes evaluation pretty straightforward..</w:t>
      </w:r>
    </w:p>
  </w:comment>
  <w:comment w:id="20"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22" w:author="Brian E McGreal" w:date="2026-09-16T16:04:00Z" w:initials="BM">
    <w:p w14:paraId="2034996E" w14:textId="77777777" w:rsidR="00A366E4" w:rsidRDefault="00A366E4" w:rsidP="00A366E4">
      <w:pPr>
        <w:pStyle w:val="CommentText"/>
      </w:pPr>
      <w:r>
        <w:rPr>
          <w:rStyle w:val="CommentReference"/>
        </w:rPr>
        <w:annotationRef/>
      </w:r>
      <w:r>
        <w:t>Is this a decent way to describe “equalvarcov”?</w:t>
      </w:r>
    </w:p>
  </w:comment>
  <w:comment w:id="23" w:author="Brian E McGreal" w:date="2026-09-16T15:54:00Z" w:initials="BM">
    <w:p w14:paraId="0426D5B6" w14:textId="77777777" w:rsidR="00A366E4" w:rsidRDefault="00A366E4" w:rsidP="00DA105F">
      <w:pPr>
        <w:pStyle w:val="CommentText"/>
      </w:pPr>
      <w:r>
        <w:rPr>
          <w:rStyle w:val="CommentReference"/>
        </w:rPr>
        <w:annotationRef/>
      </w:r>
      <w:r>
        <w:t>This will need to be rewritten if this a &lt;- “scaling” thing works out</w:t>
      </w:r>
    </w:p>
  </w:comment>
  <w:comment w:id="21" w:author="Brian E McGreal" w:date="2026-09-16T16:14:00Z" w:initials="BM">
    <w:p w14:paraId="518118BD" w14:textId="77777777" w:rsidR="00FF5D12" w:rsidRDefault="00FF5D12" w:rsidP="00FF5D12">
      <w:pPr>
        <w:pStyle w:val="CommentText"/>
      </w:pPr>
      <w:r>
        <w:rPr>
          <w:rStyle w:val="CommentReference"/>
        </w:rPr>
        <w:annotationRef/>
      </w:r>
      <w:r>
        <w:t>Should this all be in methods as well? I’d like to at least get the reminder about the reference method mentioned in the result section</w:t>
      </w:r>
    </w:p>
  </w:comment>
  <w:comment w:id="24" w:author="Brian E McGreal" w:date="2026-09-17T10:24:00Z" w:initials="BM">
    <w:p w14:paraId="60977C73" w14:textId="77777777" w:rsidR="00BD1F06" w:rsidRDefault="00BD1F06" w:rsidP="00BD1F06">
      <w:pPr>
        <w:pStyle w:val="CommentText"/>
      </w:pPr>
      <w:r>
        <w:rPr>
          <w:rStyle w:val="CommentReference"/>
        </w:rPr>
        <w:annotationRef/>
      </w:r>
      <w:r>
        <w:t>Should I include precision here as well? I think I would keep variance in the table but I could add another column</w:t>
      </w:r>
    </w:p>
  </w:comment>
  <w:comment w:id="25"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26"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27"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28"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29"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30" w:author="Brian McGreal" w:date="2026-08-31T12:22:00Z" w:initials="BM">
    <w:p w14:paraId="6CA8F14C" w14:textId="2B0BE2D0" w:rsidR="00CA10A8" w:rsidRDefault="00CA10A8">
      <w:pPr>
        <w:pStyle w:val="CommentText"/>
      </w:pPr>
      <w:r>
        <w:rPr>
          <w:rStyle w:val="CommentReference"/>
        </w:rPr>
        <w:annotationRef/>
      </w:r>
      <w:r>
        <w:t>Agreed here</w:t>
      </w:r>
    </w:p>
  </w:comment>
  <w:comment w:id="31" w:author="Brian E McGreal" w:date="2026-09-17T08:10:00Z" w:initials="BM">
    <w:p w14:paraId="53F6B984" w14:textId="77777777" w:rsidR="00162B03" w:rsidRDefault="00162B03" w:rsidP="00162B03">
      <w:pPr>
        <w:pStyle w:val="CommentText"/>
      </w:pPr>
      <w:r>
        <w:rPr>
          <w:rStyle w:val="CommentReference"/>
        </w:rPr>
        <w:annotationRef/>
      </w:r>
      <w:r>
        <w:t>Choosing precision for now..</w:t>
      </w:r>
    </w:p>
  </w:comment>
  <w:comment w:id="32"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33"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34"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35"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36" w:author="Brian E McGreal" w:date="2026-09-17T14:44:00Z" w:initials="BM">
    <w:p w14:paraId="1666A749" w14:textId="77777777" w:rsidR="00A82F48" w:rsidRDefault="00A82F48" w:rsidP="00A82F48">
      <w:pPr>
        <w:pStyle w:val="CommentText"/>
      </w:pPr>
      <w:r>
        <w:rPr>
          <w:rStyle w:val="CommentReference"/>
        </w:rPr>
        <w:annotationRef/>
      </w:r>
      <w:r>
        <w:t>Definitely needs axis label..</w:t>
      </w:r>
    </w:p>
  </w:comment>
  <w:comment w:id="37" w:author="Brian E McGreal" w:date="2026-09-17T14:53:00Z" w:initials="BM">
    <w:p w14:paraId="2FBC374D" w14:textId="77777777" w:rsidR="007F4181" w:rsidRDefault="007F4181" w:rsidP="000F5D07">
      <w:pPr>
        <w:pStyle w:val="CommentText"/>
      </w:pPr>
      <w:r>
        <w:rPr>
          <w:rStyle w:val="CommentReference"/>
        </w:rPr>
        <w:annotationRef/>
      </w:r>
      <w:r>
        <w:t>Should I get away from this? Too ESU focused?</w:t>
      </w:r>
    </w:p>
  </w:comment>
  <w:comment w:id="38"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39"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40"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41"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42" w:author="Mark Scheuerell [2]" w:date="2026-08-28T16:05:00Z" w:initials="s">
    <w:p w14:paraId="425647B5" w14:textId="77777777" w:rsidR="001B2157" w:rsidRDefault="001B2157">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45" w:author="Mark Scheuerell [2]" w:date="2026-08-28T16:18:00Z" w:initials="s">
    <w:p w14:paraId="0309D1BF" w14:textId="77777777" w:rsidR="001B2157" w:rsidRDefault="001B2157">
      <w:pPr>
        <w:pStyle w:val="CommentText"/>
      </w:pPr>
      <w:r>
        <w:rPr>
          <w:rStyle w:val="CommentReference"/>
        </w:rPr>
        <w:annotationRef/>
      </w:r>
      <w:r>
        <w:t>This will be a hard one to get past my BAO</w:t>
      </w:r>
    </w:p>
  </w:comment>
  <w:comment w:id="46" w:author="Brian E McGreal" w:date="2026-09-22T11:44:00Z" w:initials="BM">
    <w:p w14:paraId="2AC0463C" w14:textId="77777777" w:rsidR="001B2157" w:rsidRDefault="001B2157" w:rsidP="001B2157">
      <w:pPr>
        <w:pStyle w:val="CommentText"/>
      </w:pPr>
      <w:r>
        <w:rPr>
          <w:rStyle w:val="CommentReference"/>
        </w:rPr>
        <w:annotationRef/>
      </w:r>
      <w:r>
        <w:t xml:space="preserve">Is this better? Tried to de-fang the phrasing while still leaving the underlying message intact. </w:t>
      </w:r>
    </w:p>
    <w:p w14:paraId="2D5327F8" w14:textId="77777777" w:rsidR="001B2157" w:rsidRDefault="001B2157" w:rsidP="001B2157">
      <w:pPr>
        <w:pStyle w:val="CommentText"/>
      </w:pPr>
    </w:p>
    <w:p w14:paraId="6A311A1A" w14:textId="77777777" w:rsidR="001B2157" w:rsidRDefault="001B2157" w:rsidP="001B2157">
      <w:pPr>
        <w:pStyle w:val="CommentText"/>
      </w:pPr>
      <w:r>
        <w:t>It had read “identifying directional bias in these survey methods will help policymakers to more accurately determine the long-term cost-effectiveness of conservation efforts”</w:t>
      </w:r>
    </w:p>
  </w:comment>
  <w:comment w:id="43" w:author="Brian McGreal" w:date="2026-08-25T15:51:00Z" w:initials="BM">
    <w:p w14:paraId="78C33C72" w14:textId="77777777" w:rsidR="001B2157" w:rsidRDefault="001B2157">
      <w:pPr>
        <w:pStyle w:val="CommentText"/>
      </w:pPr>
      <w:r>
        <w:rPr>
          <w:rStyle w:val="CommentReference"/>
        </w:rPr>
        <w:annotationRef/>
      </w:r>
      <w:r>
        <w:t>Needs to be more stuff here</w:t>
      </w:r>
    </w:p>
  </w:comment>
  <w:comment w:id="44" w:author="Mark Scheuerell [2]" w:date="2026-08-28T16:17:00Z" w:initials="s">
    <w:p w14:paraId="74F2DBEB" w14:textId="77777777" w:rsidR="001B2157" w:rsidRDefault="001B2157" w:rsidP="001B215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23EBC5FA" w14:textId="77777777" w:rsidR="001B2157" w:rsidRDefault="001B2157" w:rsidP="001B2157">
      <w:pPr>
        <w:pStyle w:val="CommentText"/>
      </w:pPr>
    </w:p>
    <w:p w14:paraId="2716C830" w14:textId="77777777" w:rsidR="001B2157" w:rsidRDefault="001B2157" w:rsidP="001B2157">
      <w:pPr>
        <w:pStyle w:val="CommentText"/>
      </w:pPr>
      <w:r>
        <w:t>Beyond place and method, what are the implications for over or undercounting? You mentioned conservation and harvest implications in the intro. Come back to those topics here</w:t>
      </w:r>
    </w:p>
  </w:comment>
  <w:comment w:id="47" w:author="Brian E McGreal" w:date="2026-09-22T12:10:00Z" w:initials="BM">
    <w:p w14:paraId="52CF7F36" w14:textId="77777777" w:rsidR="001B2157" w:rsidRDefault="001B2157" w:rsidP="00537A52">
      <w:pPr>
        <w:pStyle w:val="CommentText"/>
      </w:pPr>
      <w:r>
        <w:rPr>
          <w:rStyle w:val="CommentReference"/>
        </w:rPr>
        <w:annotationRef/>
      </w:r>
      <w:r>
        <w:t>Coho graph</w:t>
      </w:r>
    </w:p>
  </w:comment>
  <w:comment w:id="48" w:author="Brian E McGreal" w:date="2026-09-22T12:10:00Z" w:initials="BM">
    <w:p w14:paraId="7D501E45" w14:textId="77777777" w:rsidR="001B2157" w:rsidRDefault="001B2157" w:rsidP="00537A52">
      <w:pPr>
        <w:pStyle w:val="CommentText"/>
      </w:pPr>
      <w:r>
        <w:rPr>
          <w:rStyle w:val="CommentReference"/>
        </w:rPr>
        <w:annotationRef/>
      </w:r>
      <w:r>
        <w:t>Steelhead graph</w:t>
      </w:r>
    </w:p>
  </w:comment>
  <w:comment w:id="49" w:author="Mark Scheuerell [2]" w:date="2026-08-28T16:14:00Z" w:initials="s">
    <w:p w14:paraId="05A6443E" w14:textId="77777777" w:rsidR="001B2157" w:rsidRDefault="001B2157">
      <w:pPr>
        <w:pStyle w:val="CommentText"/>
      </w:pPr>
      <w:r>
        <w:rPr>
          <w:rStyle w:val="CommentReference"/>
        </w:rPr>
        <w:annotationRef/>
      </w:r>
      <w:r>
        <w:t>We need to parse the actual source of the data (peak count at some location[s]) and method/model used (AUC)</w:t>
      </w:r>
    </w:p>
  </w:comment>
  <w:comment w:id="50" w:author="Mark Scheuerell [2]" w:date="2026-08-28T14:06:00Z" w:initials="s">
    <w:p w14:paraId="6F64F773" w14:textId="77777777" w:rsidR="00EE1018" w:rsidRDefault="00EE1018">
      <w:pPr>
        <w:pStyle w:val="CommentText"/>
      </w:pPr>
      <w:r>
        <w:rPr>
          <w:rStyle w:val="CommentReference"/>
        </w:rPr>
        <w:annotationRef/>
      </w:r>
      <w:r>
        <w:t>Increase font sizes and line thickness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1CDA7297" w15:done="0"/>
  <w15:commentEx w15:paraId="6F534568" w15:done="0"/>
  <w15:commentEx w15:paraId="0E264449" w15:done="0"/>
  <w15:commentEx w15:paraId="66FD9FD7" w15:paraIdParent="0E264449" w15:done="0"/>
  <w15:commentEx w15:paraId="29EE2B4A" w15:done="0"/>
  <w15:commentEx w15:paraId="7A9560E2" w15:paraIdParent="29EE2B4A" w15:done="0"/>
  <w15:commentEx w15:paraId="0449FDFD" w15:done="0"/>
  <w15:commentEx w15:paraId="4C87A654" w15:done="0"/>
  <w15:commentEx w15:paraId="0B04CF11" w15:paraIdParent="4C87A654" w15:done="0"/>
  <w15:commentEx w15:paraId="3677BA15" w15:paraIdParent="4C87A654" w15:done="0"/>
  <w15:commentEx w15:paraId="77DEEB86" w15:done="0"/>
  <w15:commentEx w15:paraId="3D3C5936" w15:done="0"/>
  <w15:commentEx w15:paraId="066D8BCD" w15:paraIdParent="3D3C5936" w15:done="0"/>
  <w15:commentEx w15:paraId="2B291451" w15:paraIdParent="3D3C5936" w15:done="0"/>
  <w15:commentEx w15:paraId="73CAFA27" w15:done="0"/>
  <w15:commentEx w15:paraId="7927607F" w15:paraIdParent="73CAFA27" w15:done="0"/>
  <w15:commentEx w15:paraId="598A1FC2" w15:paraIdParent="73CAFA27" w15:done="0"/>
  <w15:commentEx w15:paraId="6464D840" w15:done="0"/>
  <w15:commentEx w15:paraId="5CE74E98" w15:paraIdParent="6464D840" w15:done="0"/>
  <w15:commentEx w15:paraId="5C9748C7" w15:done="0"/>
  <w15:commentEx w15:paraId="2034996E" w15:done="0"/>
  <w15:commentEx w15:paraId="0426D5B6" w15:done="0"/>
  <w15:commentEx w15:paraId="518118BD" w15:done="0"/>
  <w15:commentEx w15:paraId="60977C73" w15:done="0"/>
  <w15:commentEx w15:paraId="17E07B86" w15:done="0"/>
  <w15:commentEx w15:paraId="07534CDE" w15:paraIdParent="17E07B86" w15:done="0"/>
  <w15:commentEx w15:paraId="2DFB89E5" w15:done="0"/>
  <w15:commentEx w15:paraId="29E6FF4F" w15:done="0"/>
  <w15:commentEx w15:paraId="3915C528" w15:done="0"/>
  <w15:commentEx w15:paraId="6CA8F14C" w15:paraIdParent="3915C528" w15:done="0"/>
  <w15:commentEx w15:paraId="53F6B984" w15:paraIdParent="3915C528" w15:done="0"/>
  <w15:commentEx w15:paraId="39C3B388" w15:done="0"/>
  <w15:commentEx w15:paraId="0BE623D8" w15:paraIdParent="39C3B388" w15:done="0"/>
  <w15:commentEx w15:paraId="13851CE4" w15:done="0"/>
  <w15:commentEx w15:paraId="0092E343" w15:done="0"/>
  <w15:commentEx w15:paraId="1666A749" w15:paraIdParent="0092E343" w15:done="0"/>
  <w15:commentEx w15:paraId="2FBC374D" w15:done="0"/>
  <w15:commentEx w15:paraId="1156762B" w15:done="0"/>
  <w15:commentEx w15:paraId="694CB1A8" w15:paraIdParent="1156762B" w15:done="0"/>
  <w15:commentEx w15:paraId="4D0EAB3B" w15:done="0"/>
  <w15:commentEx w15:paraId="16EA719B" w15:done="0"/>
  <w15:commentEx w15:paraId="425647B5" w15:done="0"/>
  <w15:commentEx w15:paraId="0309D1BF" w15:done="0"/>
  <w15:commentEx w15:paraId="6A311A1A" w15:paraIdParent="0309D1BF" w15:done="0"/>
  <w15:commentEx w15:paraId="78C33C72" w15:done="0"/>
  <w15:commentEx w15:paraId="2716C830" w15:paraIdParent="78C33C72" w15:done="0"/>
  <w15:commentEx w15:paraId="52CF7F36" w15:done="0"/>
  <w15:commentEx w15:paraId="7D501E45" w15:done="0"/>
  <w15:commentEx w15:paraId="05A6443E" w15:done="0"/>
  <w15:commentEx w15:paraId="6F64F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009D6BC2" w16cex:dateUtc="2026-09-10T00:53:00Z"/>
  <w16cex:commentExtensible w16cex:durableId="4ADEF93A" w16cex:dateUtc="2026-09-10T18:38:00Z"/>
  <w16cex:commentExtensible w16cex:durableId="3F45C090" w16cex:dateUtc="2026-08-28T18:10:00Z"/>
  <w16cex:commentExtensible w16cex:durableId="339DAB8D" w16cex:dateUtc="2026-09-10T18:43:00Z"/>
  <w16cex:commentExtensible w16cex:durableId="207836BC" w16cex:dateUtc="2026-09-10T19:27:00Z"/>
  <w16cex:commentExtensible w16cex:durableId="6155A465" w16cex:dateUtc="2026-09-11T00:32:00Z"/>
  <w16cex:commentExtensible w16cex:durableId="71483F77" w16cex:dateUtc="2026-09-03T22:19:00Z"/>
  <w16cex:commentExtensible w16cex:durableId="42067E88" w16cex:dateUtc="2026-08-28T18:34:00Z"/>
  <w16cex:commentExtensible w16cex:durableId="64276680" w16cex:dateUtc="2026-09-03T21:57:00Z"/>
  <w16cex:commentExtensible w16cex:durableId="0707C3DE" w16cex:dateUtc="2026-09-10T20:50: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57B197B5" w16cex:dateUtc="2026-08-25T14:49:00Z"/>
  <w16cex:commentExtensible w16cex:durableId="4BDD9C1A" w16cex:dateUtc="2026-09-02T20:36:00Z"/>
  <w16cex:commentExtensible w16cex:durableId="668C1385" w16cex:dateUtc="2026-09-10T20:30:00Z"/>
  <w16cex:commentExtensible w16cex:durableId="0A67C983" w16cex:dateUtc="2026-09-10T20:41:00Z"/>
  <w16cex:commentExtensible w16cex:durableId="04BA6F6C" w16cex:dateUtc="2026-09-10T20:42:00Z"/>
  <w16cex:commentExtensible w16cex:durableId="5B982B1B" w16cex:dateUtc="2026-09-10T20:44:00Z"/>
  <w16cex:commentExtensible w16cex:durableId="69D6EECA" w16cex:dateUtc="2026-09-16T23:04:00Z"/>
  <w16cex:commentExtensible w16cex:durableId="5EFF35D1" w16cex:dateUtc="2026-09-16T22:54:00Z"/>
  <w16cex:commentExtensible w16cex:durableId="261C98BD" w16cex:dateUtc="2026-09-16T23:14:00Z"/>
  <w16cex:commentExtensible w16cex:durableId="3D8AA211" w16cex:dateUtc="2026-09-17T17:24:00Z"/>
  <w16cex:commentExtensible w16cex:durableId="16BBA79A" w16cex:dateUtc="2026-08-28T18:46:00Z"/>
  <w16cex:commentExtensible w16cex:durableId="7EB58891" w16cex:dateUtc="2026-09-17T21:43:00Z"/>
  <w16cex:commentExtensible w16cex:durableId="13363667" w16cex:dateUtc="2026-09-20T01:48:00Z"/>
  <w16cex:commentExtensible w16cex:durableId="2ACF1F4B" w16cex:dateUtc="2026-09-17T15:05:00Z"/>
  <w16cex:commentExtensible w16cex:durableId="51B25773" w16cex:dateUtc="2026-08-28T18:50:00Z"/>
  <w16cex:commentExtensible w16cex:durableId="5F0E4136" w16cex:dateUtc="2026-08-31T19:22:00Z"/>
  <w16cex:commentExtensible w16cex:durableId="6A68D3B0" w16cex:dateUtc="2026-09-17T15:10:00Z"/>
  <w16cex:commentExtensible w16cex:durableId="037C682A" w16cex:dateUtc="2026-08-28T22:51:00Z"/>
  <w16cex:commentExtensible w16cex:durableId="14A6D75B" w16cex:dateUtc="2026-09-17T21:44:00Z"/>
  <w16cex:commentExtensible w16cex:durableId="706791D7" w16cex:dateUtc="2026-09-17T17:22:00Z"/>
  <w16cex:commentExtensible w16cex:durableId="4147947D" w16cex:dateUtc="2026-08-28T18:52:00Z"/>
  <w16cex:commentExtensible w16cex:durableId="1D632C4A" w16cex:dateUtc="2026-09-17T21:44: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0125989A" w16cex:dateUtc="2026-08-28T23:05:00Z"/>
  <w16cex:commentExtensible w16cex:durableId="5D1A93AD" w16cex:dateUtc="2026-08-28T23:18:00Z"/>
  <w16cex:commentExtensible w16cex:durableId="21A10142" w16cex:dateUtc="2026-09-22T18:44:00Z"/>
  <w16cex:commentExtensible w16cex:durableId="6D981889" w16cex:dateUtc="2026-08-25T22:51:00Z"/>
  <w16cex:commentExtensible w16cex:durableId="21532CE6" w16cex:dateUtc="2026-08-28T23:17:00Z"/>
  <w16cex:commentExtensible w16cex:durableId="6D4EBCDC" w16cex:dateUtc="2026-09-22T19:10:00Z"/>
  <w16cex:commentExtensible w16cex:durableId="0B9EE89B" w16cex:dateUtc="2026-09-22T19:10:00Z"/>
  <w16cex:commentExtensible w16cex:durableId="680AD6AE" w16cex:dateUtc="2026-08-28T23:14:00Z"/>
  <w16cex:commentExtensible w16cex:durableId="50085A53" w16cex:dateUtc="2026-08-28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1CDA7297" w16cid:durableId="009D6BC2"/>
  <w16cid:commentId w16cid:paraId="6F534568" w16cid:durableId="4ADEF93A"/>
  <w16cid:commentId w16cid:paraId="0E264449" w16cid:durableId="3F45C090"/>
  <w16cid:commentId w16cid:paraId="66FD9FD7" w16cid:durableId="339DAB8D"/>
  <w16cid:commentId w16cid:paraId="29EE2B4A" w16cid:durableId="207836BC"/>
  <w16cid:commentId w16cid:paraId="7A9560E2" w16cid:durableId="6155A465"/>
  <w16cid:commentId w16cid:paraId="0449FDFD" w16cid:durableId="71483F77"/>
  <w16cid:commentId w16cid:paraId="4C87A654" w16cid:durableId="42067E88"/>
  <w16cid:commentId w16cid:paraId="0B04CF11" w16cid:durableId="64276680"/>
  <w16cid:commentId w16cid:paraId="3677BA15" w16cid:durableId="0707C3DE"/>
  <w16cid:commentId w16cid:paraId="77DEEB86" w16cid:durableId="7A6E9AAD"/>
  <w16cid:commentId w16cid:paraId="3D3C5936" w16cid:durableId="3D5B965E"/>
  <w16cid:commentId w16cid:paraId="066D8BCD" w16cid:durableId="509D8C2A"/>
  <w16cid:commentId w16cid:paraId="2B291451" w16cid:durableId="11258603"/>
  <w16cid:commentId w16cid:paraId="73CAFA27" w16cid:durableId="57B197B5"/>
  <w16cid:commentId w16cid:paraId="7927607F" w16cid:durableId="4BDD9C1A"/>
  <w16cid:commentId w16cid:paraId="598A1FC2" w16cid:durableId="668C1385"/>
  <w16cid:commentId w16cid:paraId="6464D840" w16cid:durableId="0A67C983"/>
  <w16cid:commentId w16cid:paraId="5CE74E98" w16cid:durableId="04BA6F6C"/>
  <w16cid:commentId w16cid:paraId="5C9748C7" w16cid:durableId="5B982B1B"/>
  <w16cid:commentId w16cid:paraId="2034996E" w16cid:durableId="69D6EECA"/>
  <w16cid:commentId w16cid:paraId="0426D5B6" w16cid:durableId="5EFF35D1"/>
  <w16cid:commentId w16cid:paraId="518118BD" w16cid:durableId="261C98BD"/>
  <w16cid:commentId w16cid:paraId="60977C73" w16cid:durableId="3D8AA211"/>
  <w16cid:commentId w16cid:paraId="17E07B86" w16cid:durableId="16BBA79A"/>
  <w16cid:commentId w16cid:paraId="07534CDE" w16cid:durableId="7EB58891"/>
  <w16cid:commentId w16cid:paraId="2DFB89E5" w16cid:durableId="13363667"/>
  <w16cid:commentId w16cid:paraId="29E6FF4F" w16cid:durableId="2ACF1F4B"/>
  <w16cid:commentId w16cid:paraId="3915C528" w16cid:durableId="51B25773"/>
  <w16cid:commentId w16cid:paraId="6CA8F14C" w16cid:durableId="5F0E4136"/>
  <w16cid:commentId w16cid:paraId="53F6B984" w16cid:durableId="6A68D3B0"/>
  <w16cid:commentId w16cid:paraId="39C3B388" w16cid:durableId="037C682A"/>
  <w16cid:commentId w16cid:paraId="0BE623D8" w16cid:durableId="14A6D75B"/>
  <w16cid:commentId w16cid:paraId="13851CE4" w16cid:durableId="706791D7"/>
  <w16cid:commentId w16cid:paraId="0092E343" w16cid:durableId="4147947D"/>
  <w16cid:commentId w16cid:paraId="1666A749" w16cid:durableId="1D632C4A"/>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425647B5" w16cid:durableId="0125989A"/>
  <w16cid:commentId w16cid:paraId="0309D1BF" w16cid:durableId="5D1A93AD"/>
  <w16cid:commentId w16cid:paraId="6A311A1A" w16cid:durableId="21A10142"/>
  <w16cid:commentId w16cid:paraId="78C33C72" w16cid:durableId="6D981889"/>
  <w16cid:commentId w16cid:paraId="2716C830" w16cid:durableId="21532CE6"/>
  <w16cid:commentId w16cid:paraId="52CF7F36" w16cid:durableId="6D4EBCDC"/>
  <w16cid:commentId w16cid:paraId="7D501E45" w16cid:durableId="0B9EE89B"/>
  <w16cid:commentId w16cid:paraId="05A6443E" w16cid:durableId="680AD6AE"/>
  <w16cid:commentId w16cid:paraId="6F64F773" w16cid:durableId="50085A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6C70"/>
    <w:rsid w:val="00016271"/>
    <w:rsid w:val="00020551"/>
    <w:rsid w:val="00020771"/>
    <w:rsid w:val="00020F6E"/>
    <w:rsid w:val="000211C1"/>
    <w:rsid w:val="0002420D"/>
    <w:rsid w:val="0002450B"/>
    <w:rsid w:val="00025C81"/>
    <w:rsid w:val="00026B19"/>
    <w:rsid w:val="00026E9A"/>
    <w:rsid w:val="000351EF"/>
    <w:rsid w:val="000351F7"/>
    <w:rsid w:val="00036CA9"/>
    <w:rsid w:val="00037884"/>
    <w:rsid w:val="0004003B"/>
    <w:rsid w:val="000413E2"/>
    <w:rsid w:val="00041F41"/>
    <w:rsid w:val="00047FF7"/>
    <w:rsid w:val="00051C45"/>
    <w:rsid w:val="00056555"/>
    <w:rsid w:val="00056BD2"/>
    <w:rsid w:val="00064436"/>
    <w:rsid w:val="00065640"/>
    <w:rsid w:val="0007358B"/>
    <w:rsid w:val="000747AE"/>
    <w:rsid w:val="00076DD0"/>
    <w:rsid w:val="00087DF8"/>
    <w:rsid w:val="00090F73"/>
    <w:rsid w:val="00093145"/>
    <w:rsid w:val="00093B03"/>
    <w:rsid w:val="000969EE"/>
    <w:rsid w:val="00096DB2"/>
    <w:rsid w:val="000978A5"/>
    <w:rsid w:val="000A120F"/>
    <w:rsid w:val="000A4717"/>
    <w:rsid w:val="000A53B1"/>
    <w:rsid w:val="000B2866"/>
    <w:rsid w:val="000B4599"/>
    <w:rsid w:val="000B4CF7"/>
    <w:rsid w:val="000B6925"/>
    <w:rsid w:val="000B7057"/>
    <w:rsid w:val="000C332F"/>
    <w:rsid w:val="000C3781"/>
    <w:rsid w:val="000C54E2"/>
    <w:rsid w:val="000E03AE"/>
    <w:rsid w:val="000E1A02"/>
    <w:rsid w:val="000E66FA"/>
    <w:rsid w:val="000E7E0D"/>
    <w:rsid w:val="000F0FA2"/>
    <w:rsid w:val="000F389A"/>
    <w:rsid w:val="000F5D07"/>
    <w:rsid w:val="0010361F"/>
    <w:rsid w:val="001045F0"/>
    <w:rsid w:val="00105F6D"/>
    <w:rsid w:val="00106620"/>
    <w:rsid w:val="001069AF"/>
    <w:rsid w:val="00106F43"/>
    <w:rsid w:val="00112CB3"/>
    <w:rsid w:val="0012702E"/>
    <w:rsid w:val="00131D87"/>
    <w:rsid w:val="0013461D"/>
    <w:rsid w:val="001351E7"/>
    <w:rsid w:val="00135D72"/>
    <w:rsid w:val="00141ED9"/>
    <w:rsid w:val="0014214F"/>
    <w:rsid w:val="001434AA"/>
    <w:rsid w:val="00143A1C"/>
    <w:rsid w:val="001457CE"/>
    <w:rsid w:val="0014732D"/>
    <w:rsid w:val="0014782E"/>
    <w:rsid w:val="00147F78"/>
    <w:rsid w:val="0015045B"/>
    <w:rsid w:val="00153748"/>
    <w:rsid w:val="00153BBB"/>
    <w:rsid w:val="00154476"/>
    <w:rsid w:val="00156918"/>
    <w:rsid w:val="00157B89"/>
    <w:rsid w:val="00161580"/>
    <w:rsid w:val="00162B03"/>
    <w:rsid w:val="0016546C"/>
    <w:rsid w:val="00165E63"/>
    <w:rsid w:val="0016612F"/>
    <w:rsid w:val="001735EA"/>
    <w:rsid w:val="00183E52"/>
    <w:rsid w:val="00187228"/>
    <w:rsid w:val="00190D2F"/>
    <w:rsid w:val="00195F4E"/>
    <w:rsid w:val="00196729"/>
    <w:rsid w:val="001A1822"/>
    <w:rsid w:val="001A2E8F"/>
    <w:rsid w:val="001A400C"/>
    <w:rsid w:val="001A65D1"/>
    <w:rsid w:val="001B02A3"/>
    <w:rsid w:val="001B2157"/>
    <w:rsid w:val="001B3644"/>
    <w:rsid w:val="001B75D2"/>
    <w:rsid w:val="001B7EB1"/>
    <w:rsid w:val="001C3115"/>
    <w:rsid w:val="001C4C0D"/>
    <w:rsid w:val="001C7081"/>
    <w:rsid w:val="001D256F"/>
    <w:rsid w:val="001E3698"/>
    <w:rsid w:val="001E5C3E"/>
    <w:rsid w:val="001F152C"/>
    <w:rsid w:val="002001EE"/>
    <w:rsid w:val="0020137B"/>
    <w:rsid w:val="002138A1"/>
    <w:rsid w:val="002138FA"/>
    <w:rsid w:val="00213E8B"/>
    <w:rsid w:val="00217420"/>
    <w:rsid w:val="002219EA"/>
    <w:rsid w:val="0022326F"/>
    <w:rsid w:val="002243C1"/>
    <w:rsid w:val="00225C27"/>
    <w:rsid w:val="00225FBB"/>
    <w:rsid w:val="00230354"/>
    <w:rsid w:val="002316F8"/>
    <w:rsid w:val="00231D23"/>
    <w:rsid w:val="0023499A"/>
    <w:rsid w:val="00235347"/>
    <w:rsid w:val="00235527"/>
    <w:rsid w:val="00240F83"/>
    <w:rsid w:val="002415C7"/>
    <w:rsid w:val="00242510"/>
    <w:rsid w:val="00242804"/>
    <w:rsid w:val="0024375A"/>
    <w:rsid w:val="00243A2D"/>
    <w:rsid w:val="00244969"/>
    <w:rsid w:val="002477DE"/>
    <w:rsid w:val="00247A6B"/>
    <w:rsid w:val="0025049F"/>
    <w:rsid w:val="002508F6"/>
    <w:rsid w:val="00255E48"/>
    <w:rsid w:val="00257931"/>
    <w:rsid w:val="00257B5F"/>
    <w:rsid w:val="002726AA"/>
    <w:rsid w:val="00275026"/>
    <w:rsid w:val="002758A5"/>
    <w:rsid w:val="00276236"/>
    <w:rsid w:val="0027692A"/>
    <w:rsid w:val="002806B9"/>
    <w:rsid w:val="00281D2D"/>
    <w:rsid w:val="002849BF"/>
    <w:rsid w:val="00284D54"/>
    <w:rsid w:val="00286866"/>
    <w:rsid w:val="002875E6"/>
    <w:rsid w:val="002902C7"/>
    <w:rsid w:val="0029248E"/>
    <w:rsid w:val="00294A2D"/>
    <w:rsid w:val="0029679D"/>
    <w:rsid w:val="00297127"/>
    <w:rsid w:val="002A0BE5"/>
    <w:rsid w:val="002A3B5D"/>
    <w:rsid w:val="002B19CC"/>
    <w:rsid w:val="002B445C"/>
    <w:rsid w:val="002B4FCA"/>
    <w:rsid w:val="002C5EA7"/>
    <w:rsid w:val="002D0155"/>
    <w:rsid w:val="002E1418"/>
    <w:rsid w:val="002F1B21"/>
    <w:rsid w:val="002F397B"/>
    <w:rsid w:val="002F4262"/>
    <w:rsid w:val="002F5D1A"/>
    <w:rsid w:val="002F7187"/>
    <w:rsid w:val="00314E6A"/>
    <w:rsid w:val="00317AF9"/>
    <w:rsid w:val="00320EF8"/>
    <w:rsid w:val="00321E2D"/>
    <w:rsid w:val="003226D4"/>
    <w:rsid w:val="00322D02"/>
    <w:rsid w:val="00324599"/>
    <w:rsid w:val="00324C3E"/>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C6244"/>
    <w:rsid w:val="003E13EC"/>
    <w:rsid w:val="003E281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15D6"/>
    <w:rsid w:val="00451B18"/>
    <w:rsid w:val="0045230E"/>
    <w:rsid w:val="00452734"/>
    <w:rsid w:val="004551F5"/>
    <w:rsid w:val="00460DCF"/>
    <w:rsid w:val="0046161C"/>
    <w:rsid w:val="00462282"/>
    <w:rsid w:val="00462E41"/>
    <w:rsid w:val="00464245"/>
    <w:rsid w:val="004657A3"/>
    <w:rsid w:val="00465C9D"/>
    <w:rsid w:val="00470026"/>
    <w:rsid w:val="004729F3"/>
    <w:rsid w:val="00475999"/>
    <w:rsid w:val="00480D78"/>
    <w:rsid w:val="00482020"/>
    <w:rsid w:val="00490EE8"/>
    <w:rsid w:val="0049791E"/>
    <w:rsid w:val="004A06FB"/>
    <w:rsid w:val="004A15D5"/>
    <w:rsid w:val="004A3510"/>
    <w:rsid w:val="004A7F14"/>
    <w:rsid w:val="004B24DA"/>
    <w:rsid w:val="004C29CA"/>
    <w:rsid w:val="004C2E51"/>
    <w:rsid w:val="004C527F"/>
    <w:rsid w:val="004D0EEA"/>
    <w:rsid w:val="004D4B49"/>
    <w:rsid w:val="004D5377"/>
    <w:rsid w:val="004D577C"/>
    <w:rsid w:val="004D7BF2"/>
    <w:rsid w:val="004E3D84"/>
    <w:rsid w:val="004E3FE0"/>
    <w:rsid w:val="004E5310"/>
    <w:rsid w:val="004E682F"/>
    <w:rsid w:val="004F22A2"/>
    <w:rsid w:val="004F745E"/>
    <w:rsid w:val="004F7865"/>
    <w:rsid w:val="0050155E"/>
    <w:rsid w:val="00502CE4"/>
    <w:rsid w:val="00502D3F"/>
    <w:rsid w:val="00504058"/>
    <w:rsid w:val="0050561D"/>
    <w:rsid w:val="0050776B"/>
    <w:rsid w:val="005220F8"/>
    <w:rsid w:val="00523877"/>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711E6"/>
    <w:rsid w:val="00573756"/>
    <w:rsid w:val="00575570"/>
    <w:rsid w:val="0057569A"/>
    <w:rsid w:val="00583AA1"/>
    <w:rsid w:val="00583E67"/>
    <w:rsid w:val="005915DE"/>
    <w:rsid w:val="00592818"/>
    <w:rsid w:val="005940AA"/>
    <w:rsid w:val="005947FF"/>
    <w:rsid w:val="005A23A3"/>
    <w:rsid w:val="005A2987"/>
    <w:rsid w:val="005A5D3B"/>
    <w:rsid w:val="005B088E"/>
    <w:rsid w:val="005B36C7"/>
    <w:rsid w:val="005B3E86"/>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21C7A"/>
    <w:rsid w:val="00625B19"/>
    <w:rsid w:val="00626BFF"/>
    <w:rsid w:val="00636ACD"/>
    <w:rsid w:val="00637E90"/>
    <w:rsid w:val="00646055"/>
    <w:rsid w:val="00650671"/>
    <w:rsid w:val="006572B1"/>
    <w:rsid w:val="00665FC7"/>
    <w:rsid w:val="0067042D"/>
    <w:rsid w:val="00672622"/>
    <w:rsid w:val="0067376D"/>
    <w:rsid w:val="00683692"/>
    <w:rsid w:val="0068684A"/>
    <w:rsid w:val="00690236"/>
    <w:rsid w:val="00690AC9"/>
    <w:rsid w:val="006958CA"/>
    <w:rsid w:val="0069756A"/>
    <w:rsid w:val="00697C8A"/>
    <w:rsid w:val="006A07C3"/>
    <w:rsid w:val="006A0EF8"/>
    <w:rsid w:val="006A4F52"/>
    <w:rsid w:val="006B00EA"/>
    <w:rsid w:val="006B09CA"/>
    <w:rsid w:val="006B0B65"/>
    <w:rsid w:val="006B273B"/>
    <w:rsid w:val="006B3C69"/>
    <w:rsid w:val="006B4E7E"/>
    <w:rsid w:val="006B5F13"/>
    <w:rsid w:val="006C6484"/>
    <w:rsid w:val="006C652A"/>
    <w:rsid w:val="006D1F4A"/>
    <w:rsid w:val="006D5B2D"/>
    <w:rsid w:val="006D64A8"/>
    <w:rsid w:val="006D6E52"/>
    <w:rsid w:val="006E20E5"/>
    <w:rsid w:val="006E39D9"/>
    <w:rsid w:val="006E4EB8"/>
    <w:rsid w:val="006E50F1"/>
    <w:rsid w:val="006F605C"/>
    <w:rsid w:val="00701A4D"/>
    <w:rsid w:val="0070271B"/>
    <w:rsid w:val="007116CE"/>
    <w:rsid w:val="00712EDC"/>
    <w:rsid w:val="00721F3A"/>
    <w:rsid w:val="00724D51"/>
    <w:rsid w:val="00727126"/>
    <w:rsid w:val="00727900"/>
    <w:rsid w:val="00730B6E"/>
    <w:rsid w:val="00731DD2"/>
    <w:rsid w:val="00732A70"/>
    <w:rsid w:val="00743B13"/>
    <w:rsid w:val="00743FE1"/>
    <w:rsid w:val="00745B5B"/>
    <w:rsid w:val="0075189D"/>
    <w:rsid w:val="00752C5D"/>
    <w:rsid w:val="00752C65"/>
    <w:rsid w:val="00760A39"/>
    <w:rsid w:val="007623D9"/>
    <w:rsid w:val="00763BB2"/>
    <w:rsid w:val="00766C9C"/>
    <w:rsid w:val="00770080"/>
    <w:rsid w:val="00771F3E"/>
    <w:rsid w:val="00787508"/>
    <w:rsid w:val="00793836"/>
    <w:rsid w:val="007A4D93"/>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D32"/>
    <w:rsid w:val="008379A2"/>
    <w:rsid w:val="0084016E"/>
    <w:rsid w:val="008405D2"/>
    <w:rsid w:val="00841177"/>
    <w:rsid w:val="00843ED1"/>
    <w:rsid w:val="00844BF0"/>
    <w:rsid w:val="00845D21"/>
    <w:rsid w:val="00850EF3"/>
    <w:rsid w:val="0085568B"/>
    <w:rsid w:val="00861DB0"/>
    <w:rsid w:val="00873431"/>
    <w:rsid w:val="00873469"/>
    <w:rsid w:val="0087694C"/>
    <w:rsid w:val="008771E2"/>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EE5"/>
    <w:rsid w:val="008E70AB"/>
    <w:rsid w:val="008E7D2B"/>
    <w:rsid w:val="008F124F"/>
    <w:rsid w:val="008F21BB"/>
    <w:rsid w:val="008F3051"/>
    <w:rsid w:val="008F4B25"/>
    <w:rsid w:val="00900081"/>
    <w:rsid w:val="00900B69"/>
    <w:rsid w:val="00901400"/>
    <w:rsid w:val="009100A0"/>
    <w:rsid w:val="00930E21"/>
    <w:rsid w:val="00931020"/>
    <w:rsid w:val="00932C59"/>
    <w:rsid w:val="00933AC5"/>
    <w:rsid w:val="009368F8"/>
    <w:rsid w:val="0093753C"/>
    <w:rsid w:val="00941B4C"/>
    <w:rsid w:val="0094256D"/>
    <w:rsid w:val="00943243"/>
    <w:rsid w:val="00947EBF"/>
    <w:rsid w:val="009507D8"/>
    <w:rsid w:val="00952B0A"/>
    <w:rsid w:val="00953ADB"/>
    <w:rsid w:val="00964756"/>
    <w:rsid w:val="0096570F"/>
    <w:rsid w:val="00967E52"/>
    <w:rsid w:val="00973BDF"/>
    <w:rsid w:val="00974AB5"/>
    <w:rsid w:val="009774C3"/>
    <w:rsid w:val="009778E4"/>
    <w:rsid w:val="009845CB"/>
    <w:rsid w:val="009846AD"/>
    <w:rsid w:val="009928F2"/>
    <w:rsid w:val="00997628"/>
    <w:rsid w:val="00997D84"/>
    <w:rsid w:val="009A09AD"/>
    <w:rsid w:val="009B03C4"/>
    <w:rsid w:val="009B0CF4"/>
    <w:rsid w:val="009B78F1"/>
    <w:rsid w:val="009C0E29"/>
    <w:rsid w:val="009C2209"/>
    <w:rsid w:val="009C5738"/>
    <w:rsid w:val="009C5853"/>
    <w:rsid w:val="009C5BF5"/>
    <w:rsid w:val="009C5F59"/>
    <w:rsid w:val="009D066D"/>
    <w:rsid w:val="009D1AD9"/>
    <w:rsid w:val="009E4A13"/>
    <w:rsid w:val="009E609B"/>
    <w:rsid w:val="009E6532"/>
    <w:rsid w:val="009F0123"/>
    <w:rsid w:val="009F0BCF"/>
    <w:rsid w:val="009F226D"/>
    <w:rsid w:val="009F331E"/>
    <w:rsid w:val="009F62F6"/>
    <w:rsid w:val="00A00AC3"/>
    <w:rsid w:val="00A01EC8"/>
    <w:rsid w:val="00A04A6A"/>
    <w:rsid w:val="00A05CD2"/>
    <w:rsid w:val="00A07031"/>
    <w:rsid w:val="00A11D8B"/>
    <w:rsid w:val="00A156CB"/>
    <w:rsid w:val="00A16DFE"/>
    <w:rsid w:val="00A20C4E"/>
    <w:rsid w:val="00A20E69"/>
    <w:rsid w:val="00A22039"/>
    <w:rsid w:val="00A22935"/>
    <w:rsid w:val="00A23BAA"/>
    <w:rsid w:val="00A259DD"/>
    <w:rsid w:val="00A27F69"/>
    <w:rsid w:val="00A31561"/>
    <w:rsid w:val="00A346A3"/>
    <w:rsid w:val="00A348E5"/>
    <w:rsid w:val="00A35AA7"/>
    <w:rsid w:val="00A366E4"/>
    <w:rsid w:val="00A57D2D"/>
    <w:rsid w:val="00A60FB6"/>
    <w:rsid w:val="00A7533C"/>
    <w:rsid w:val="00A82516"/>
    <w:rsid w:val="00A82F48"/>
    <w:rsid w:val="00A917E4"/>
    <w:rsid w:val="00A924C3"/>
    <w:rsid w:val="00A93507"/>
    <w:rsid w:val="00A9466C"/>
    <w:rsid w:val="00A94D0C"/>
    <w:rsid w:val="00AA764C"/>
    <w:rsid w:val="00AA7E4F"/>
    <w:rsid w:val="00AB0BC1"/>
    <w:rsid w:val="00AB0D55"/>
    <w:rsid w:val="00AB187D"/>
    <w:rsid w:val="00AB2D1A"/>
    <w:rsid w:val="00AB3DD5"/>
    <w:rsid w:val="00AB4A9A"/>
    <w:rsid w:val="00AB7BC7"/>
    <w:rsid w:val="00AC20EE"/>
    <w:rsid w:val="00AC5313"/>
    <w:rsid w:val="00AC5363"/>
    <w:rsid w:val="00AD0169"/>
    <w:rsid w:val="00AD202E"/>
    <w:rsid w:val="00AD5CDC"/>
    <w:rsid w:val="00AF7DED"/>
    <w:rsid w:val="00B063F4"/>
    <w:rsid w:val="00B06B49"/>
    <w:rsid w:val="00B06C31"/>
    <w:rsid w:val="00B0752E"/>
    <w:rsid w:val="00B0774E"/>
    <w:rsid w:val="00B11BE6"/>
    <w:rsid w:val="00B132D9"/>
    <w:rsid w:val="00B26193"/>
    <w:rsid w:val="00B32D44"/>
    <w:rsid w:val="00B3426F"/>
    <w:rsid w:val="00B34CD4"/>
    <w:rsid w:val="00B447E7"/>
    <w:rsid w:val="00B466ED"/>
    <w:rsid w:val="00B4756B"/>
    <w:rsid w:val="00B53121"/>
    <w:rsid w:val="00B53A9A"/>
    <w:rsid w:val="00B55860"/>
    <w:rsid w:val="00B57F96"/>
    <w:rsid w:val="00B60485"/>
    <w:rsid w:val="00B64193"/>
    <w:rsid w:val="00B664C9"/>
    <w:rsid w:val="00B667F9"/>
    <w:rsid w:val="00B6792F"/>
    <w:rsid w:val="00B72CAE"/>
    <w:rsid w:val="00B813CF"/>
    <w:rsid w:val="00B81603"/>
    <w:rsid w:val="00B87FF6"/>
    <w:rsid w:val="00B91BAC"/>
    <w:rsid w:val="00B95C5F"/>
    <w:rsid w:val="00BA00ED"/>
    <w:rsid w:val="00BA17FA"/>
    <w:rsid w:val="00BA22A1"/>
    <w:rsid w:val="00BA243D"/>
    <w:rsid w:val="00BA3325"/>
    <w:rsid w:val="00BB0A87"/>
    <w:rsid w:val="00BB2FEA"/>
    <w:rsid w:val="00BB3018"/>
    <w:rsid w:val="00BB49EA"/>
    <w:rsid w:val="00BB5076"/>
    <w:rsid w:val="00BB61A0"/>
    <w:rsid w:val="00BC6854"/>
    <w:rsid w:val="00BD0730"/>
    <w:rsid w:val="00BD1A20"/>
    <w:rsid w:val="00BD1F06"/>
    <w:rsid w:val="00BE09E9"/>
    <w:rsid w:val="00BE320C"/>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60975"/>
    <w:rsid w:val="00C63056"/>
    <w:rsid w:val="00C711FF"/>
    <w:rsid w:val="00C83D64"/>
    <w:rsid w:val="00C848F9"/>
    <w:rsid w:val="00C935A6"/>
    <w:rsid w:val="00C96C1A"/>
    <w:rsid w:val="00C97EE3"/>
    <w:rsid w:val="00CA10A8"/>
    <w:rsid w:val="00CA18F7"/>
    <w:rsid w:val="00CA473B"/>
    <w:rsid w:val="00CA604C"/>
    <w:rsid w:val="00CA6F85"/>
    <w:rsid w:val="00CA700F"/>
    <w:rsid w:val="00CA7033"/>
    <w:rsid w:val="00CB24C0"/>
    <w:rsid w:val="00CB5E6A"/>
    <w:rsid w:val="00CB780C"/>
    <w:rsid w:val="00CC3DC6"/>
    <w:rsid w:val="00CC44B1"/>
    <w:rsid w:val="00CC5605"/>
    <w:rsid w:val="00CC6013"/>
    <w:rsid w:val="00CC6BA6"/>
    <w:rsid w:val="00CD09C7"/>
    <w:rsid w:val="00CD16AC"/>
    <w:rsid w:val="00CD21E4"/>
    <w:rsid w:val="00CD5586"/>
    <w:rsid w:val="00CD5D94"/>
    <w:rsid w:val="00CD7815"/>
    <w:rsid w:val="00CE184A"/>
    <w:rsid w:val="00CE5936"/>
    <w:rsid w:val="00CF3451"/>
    <w:rsid w:val="00CF4E6A"/>
    <w:rsid w:val="00CF5D64"/>
    <w:rsid w:val="00D01C26"/>
    <w:rsid w:val="00D129BC"/>
    <w:rsid w:val="00D12E95"/>
    <w:rsid w:val="00D1420A"/>
    <w:rsid w:val="00D1560E"/>
    <w:rsid w:val="00D21311"/>
    <w:rsid w:val="00D2537C"/>
    <w:rsid w:val="00D27369"/>
    <w:rsid w:val="00D3167C"/>
    <w:rsid w:val="00D348B0"/>
    <w:rsid w:val="00D36D87"/>
    <w:rsid w:val="00D41F74"/>
    <w:rsid w:val="00D42BD2"/>
    <w:rsid w:val="00D44D8C"/>
    <w:rsid w:val="00D45350"/>
    <w:rsid w:val="00D515FC"/>
    <w:rsid w:val="00D55635"/>
    <w:rsid w:val="00D56F0E"/>
    <w:rsid w:val="00D64780"/>
    <w:rsid w:val="00D746E9"/>
    <w:rsid w:val="00D80B04"/>
    <w:rsid w:val="00D81873"/>
    <w:rsid w:val="00D92812"/>
    <w:rsid w:val="00D92F04"/>
    <w:rsid w:val="00D95479"/>
    <w:rsid w:val="00DA105F"/>
    <w:rsid w:val="00DA6B0A"/>
    <w:rsid w:val="00DB0928"/>
    <w:rsid w:val="00DB138E"/>
    <w:rsid w:val="00DC1A91"/>
    <w:rsid w:val="00DC35EB"/>
    <w:rsid w:val="00DC3ADA"/>
    <w:rsid w:val="00DD00D3"/>
    <w:rsid w:val="00DD10DB"/>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06CB"/>
    <w:rsid w:val="00E427A1"/>
    <w:rsid w:val="00E436E0"/>
    <w:rsid w:val="00E455EB"/>
    <w:rsid w:val="00E4636B"/>
    <w:rsid w:val="00E46F58"/>
    <w:rsid w:val="00E519D6"/>
    <w:rsid w:val="00E528F0"/>
    <w:rsid w:val="00E55059"/>
    <w:rsid w:val="00E64D70"/>
    <w:rsid w:val="00E66FA7"/>
    <w:rsid w:val="00E7100D"/>
    <w:rsid w:val="00E71F6B"/>
    <w:rsid w:val="00E74B04"/>
    <w:rsid w:val="00E7589D"/>
    <w:rsid w:val="00E75CC5"/>
    <w:rsid w:val="00E81F39"/>
    <w:rsid w:val="00E826C3"/>
    <w:rsid w:val="00E84CC4"/>
    <w:rsid w:val="00E84FB0"/>
    <w:rsid w:val="00E8725E"/>
    <w:rsid w:val="00E90F89"/>
    <w:rsid w:val="00E959DA"/>
    <w:rsid w:val="00E9697A"/>
    <w:rsid w:val="00EA0136"/>
    <w:rsid w:val="00EA3E95"/>
    <w:rsid w:val="00EB0932"/>
    <w:rsid w:val="00EB44EB"/>
    <w:rsid w:val="00EB55B8"/>
    <w:rsid w:val="00EB6DA6"/>
    <w:rsid w:val="00EC46A6"/>
    <w:rsid w:val="00EC6887"/>
    <w:rsid w:val="00ED1CF0"/>
    <w:rsid w:val="00ED3721"/>
    <w:rsid w:val="00ED4119"/>
    <w:rsid w:val="00ED5551"/>
    <w:rsid w:val="00ED6561"/>
    <w:rsid w:val="00EE07EC"/>
    <w:rsid w:val="00EE1018"/>
    <w:rsid w:val="00EE4DE0"/>
    <w:rsid w:val="00EF04C2"/>
    <w:rsid w:val="00EF48D0"/>
    <w:rsid w:val="00EF6956"/>
    <w:rsid w:val="00F0768E"/>
    <w:rsid w:val="00F17F01"/>
    <w:rsid w:val="00F22D65"/>
    <w:rsid w:val="00F264A6"/>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3ACD"/>
    <w:rsid w:val="00F84F52"/>
    <w:rsid w:val="00F85DB1"/>
    <w:rsid w:val="00F869AB"/>
    <w:rsid w:val="00F90C82"/>
    <w:rsid w:val="00F9155B"/>
    <w:rsid w:val="00F92390"/>
    <w:rsid w:val="00F93AA8"/>
    <w:rsid w:val="00F96071"/>
    <w:rsid w:val="00F97D86"/>
    <w:rsid w:val="00FA6909"/>
    <w:rsid w:val="00FB66A1"/>
    <w:rsid w:val="00FB6A38"/>
    <w:rsid w:val="00FC4519"/>
    <w:rsid w:val="00FC6FAE"/>
    <w:rsid w:val="00FD0509"/>
    <w:rsid w:val="00FD3D47"/>
    <w:rsid w:val="00FD5458"/>
    <w:rsid w:val="00FD65F2"/>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national/endangered-species-conservation/listing-species-under-endangered-species-act%20"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ws.gov/library/collections/endangered-and-threatened-species-expenditures-reports" TargetMode="External"/><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microsoft.com/office/2016/09/relationships/commentsIds" Target="commentsId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fisheries.noaa.gov/species/pacific-salmon-and-steelhead/esa-protected-species" TargetMode="External"/><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11.png"/><Relationship Id="rId41"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4" Type="http://schemas.openxmlformats.org/officeDocument/2006/relationships/image" Target="media/image41.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17712</TotalTime>
  <Pages>73</Pages>
  <Words>9655</Words>
  <Characters>55038</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436</cp:revision>
  <cp:lastPrinted>2026-08-25T22:08:00Z</cp:lastPrinted>
  <dcterms:created xsi:type="dcterms:W3CDTF">2025-10-17T18:54:00Z</dcterms:created>
  <dcterms:modified xsi:type="dcterms:W3CDTF">2026-10-01T22:48:00Z</dcterms:modified>
</cp:coreProperties>
</file>