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11" w:rsidRPr="004D47F0" w:rsidRDefault="005F1311" w:rsidP="005F1311">
      <w:pPr>
        <w:spacing w:after="0" w:line="240" w:lineRule="auto"/>
        <w:jc w:val="both"/>
        <w:rPr>
          <w:rFonts w:ascii="Arial" w:eastAsia="Times New Roman" w:hAnsi="Arial" w:cs="Calibri"/>
          <w:b/>
          <w:sz w:val="24"/>
          <w:szCs w:val="24"/>
          <w:u w:val="single"/>
          <w:lang w:eastAsia="en-US"/>
        </w:rPr>
      </w:pPr>
    </w:p>
    <w:p w:rsidR="005F1311" w:rsidRPr="00334E55" w:rsidRDefault="00892115" w:rsidP="005F1311">
      <w:pPr>
        <w:spacing w:after="0" w:line="240" w:lineRule="auto"/>
        <w:jc w:val="both"/>
        <w:rPr>
          <w:rFonts w:ascii="Arial" w:eastAsia="Times New Roman" w:hAnsi="Arial" w:cs="Calibri"/>
          <w:b/>
          <w:sz w:val="24"/>
          <w:szCs w:val="24"/>
          <w:u w:val="single"/>
        </w:rPr>
      </w:pPr>
      <w:r>
        <w:rPr>
          <w:rFonts w:ascii="Arial" w:eastAsia="Times New Roman" w:hAnsi="Arial" w:cs="Calibri"/>
          <w:b/>
          <w:sz w:val="24"/>
          <w:szCs w:val="24"/>
          <w:u w:val="single"/>
        </w:rPr>
        <w:t>Final</w:t>
      </w:r>
    </w:p>
    <w:p w:rsidR="005F1311" w:rsidRPr="00334E55" w:rsidRDefault="00DE5FEE" w:rsidP="005F1311">
      <w:pPr>
        <w:spacing w:before="100" w:beforeAutospacing="1" w:after="100" w:afterAutospacing="1"/>
        <w:jc w:val="center"/>
        <w:outlineLvl w:val="3"/>
        <w:rPr>
          <w:rFonts w:ascii="Arial" w:hAnsi="Arial" w:cs="Arial"/>
          <w:b/>
          <w:sz w:val="28"/>
        </w:rPr>
      </w:pPr>
      <w:r w:rsidRPr="00334E55">
        <w:rPr>
          <w:rFonts w:ascii="Arial" w:hAnsi="Arial" w:cs="Arial"/>
          <w:b/>
          <w:sz w:val="28"/>
        </w:rPr>
        <w:t>Powering the Pi for Portable Projects</w:t>
      </w:r>
    </w:p>
    <w:p w:rsidR="005F1311" w:rsidRPr="00334E55" w:rsidRDefault="005F1311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D00CA4" w:rsidRPr="00334E55" w:rsidRDefault="00DE5FEE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You’ve got your Raspberry Pi, you’re working on a </w:t>
      </w:r>
      <w:r w:rsidR="002A4747" w:rsidRPr="00334E55">
        <w:rPr>
          <w:rFonts w:ascii="Arial" w:eastAsia="Calibri" w:hAnsi="Arial" w:cs="Arial"/>
          <w:sz w:val="24"/>
          <w:szCs w:val="24"/>
          <w:lang w:val="en-US" w:eastAsia="en-US"/>
        </w:rPr>
        <w:t>mobile project</w:t>
      </w:r>
      <w:r w:rsidR="000029B5" w:rsidRPr="00334E55">
        <w:rPr>
          <w:rFonts w:ascii="Arial" w:eastAsia="Calibri" w:hAnsi="Arial" w:cs="Arial"/>
          <w:sz w:val="24"/>
          <w:szCs w:val="24"/>
          <w:lang w:val="en-US" w:eastAsia="en-US"/>
        </w:rPr>
        <w:t>, and you need to power it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.  </w:t>
      </w:r>
      <w:r w:rsidR="002A4747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RS Components </w:t>
      </w:r>
      <w:r w:rsidR="006872BE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has unveiled three </w:t>
      </w:r>
      <w:r w:rsidR="00D00CA4" w:rsidRPr="00334E55">
        <w:rPr>
          <w:rFonts w:ascii="Arial" w:eastAsia="Calibri" w:hAnsi="Arial" w:cs="Arial"/>
          <w:sz w:val="24"/>
          <w:szCs w:val="24"/>
          <w:lang w:val="en-US" w:eastAsia="en-US"/>
        </w:rPr>
        <w:t>rechargeable battery packs to keep you powered up</w:t>
      </w:r>
      <w:r w:rsidR="00A12400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while you’re programming</w:t>
      </w:r>
      <w:r w:rsidR="00D00CA4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. </w:t>
      </w:r>
    </w:p>
    <w:p w:rsidR="00D00CA4" w:rsidRPr="00334E55" w:rsidRDefault="00D00CA4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42689C" w:rsidRPr="00334E55" w:rsidRDefault="00A12400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The</w:t>
      </w:r>
      <w:r w:rsidR="006872BE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se new 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power banks</w:t>
      </w:r>
      <w:r w:rsidR="00F66030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are designed to meet the different requirements of th</w:t>
      </w:r>
      <w:r w:rsidR="006872BE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e user, and range from a </w:t>
      </w:r>
      <w:r w:rsidR="00F66030" w:rsidRPr="00334E55">
        <w:rPr>
          <w:rFonts w:ascii="Arial" w:eastAsia="Calibri" w:hAnsi="Arial" w:cs="Arial"/>
          <w:sz w:val="24"/>
          <w:szCs w:val="24"/>
          <w:lang w:val="en-US" w:eastAsia="en-US"/>
        </w:rPr>
        <w:t>low-cost lightweight version</w:t>
      </w:r>
      <w:r w:rsidR="006872BE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to the larger higher capacity models with extended </w:t>
      </w:r>
      <w:r w:rsidR="00EB1863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cell </w:t>
      </w:r>
      <w:r w:rsidR="006872BE" w:rsidRPr="00334E55">
        <w:rPr>
          <w:rFonts w:ascii="Arial" w:eastAsia="Calibri" w:hAnsi="Arial" w:cs="Arial"/>
          <w:sz w:val="24"/>
          <w:szCs w:val="24"/>
          <w:lang w:val="en-US" w:eastAsia="en-US"/>
        </w:rPr>
        <w:t>life</w:t>
      </w:r>
      <w:r w:rsidR="0042689C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for more power-hungry applications</w:t>
      </w:r>
      <w:r w:rsidR="006872BE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. </w:t>
      </w:r>
      <w:r w:rsidR="00FE5CF2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 </w:t>
      </w:r>
    </w:p>
    <w:p w:rsidR="0042689C" w:rsidRPr="00334E55" w:rsidRDefault="0042689C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Look w:val="04A0"/>
      </w:tblPr>
      <w:tblGrid>
        <w:gridCol w:w="2411"/>
        <w:gridCol w:w="2626"/>
        <w:gridCol w:w="2248"/>
        <w:gridCol w:w="1957"/>
      </w:tblGrid>
      <w:tr w:rsidR="00A67C46" w:rsidRPr="00334E55" w:rsidTr="00A67C46">
        <w:tc>
          <w:tcPr>
            <w:tcW w:w="2411" w:type="dxa"/>
            <w:shd w:val="clear" w:color="auto" w:fill="3366FF"/>
          </w:tcPr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</w:pPr>
            <w:r w:rsidRPr="00334E55"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  <w:t>Capacity</w:t>
            </w:r>
            <w:r w:rsidR="00987F03"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  <w:t xml:space="preserve"> / Type</w:t>
            </w:r>
          </w:p>
        </w:tc>
        <w:tc>
          <w:tcPr>
            <w:tcW w:w="2626" w:type="dxa"/>
            <w:shd w:val="clear" w:color="auto" w:fill="3366FF"/>
          </w:tcPr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</w:pPr>
            <w:r w:rsidRPr="00334E55"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  <w:t>Dimensions</w:t>
            </w:r>
          </w:p>
        </w:tc>
        <w:tc>
          <w:tcPr>
            <w:tcW w:w="2248" w:type="dxa"/>
            <w:shd w:val="clear" w:color="auto" w:fill="3366FF"/>
          </w:tcPr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</w:pPr>
            <w:r w:rsidRPr="00334E55"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  <w:t>Weight</w:t>
            </w:r>
          </w:p>
        </w:tc>
        <w:tc>
          <w:tcPr>
            <w:tcW w:w="1957" w:type="dxa"/>
            <w:shd w:val="clear" w:color="auto" w:fill="3366FF"/>
          </w:tcPr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</w:pPr>
            <w:r w:rsidRPr="00334E55">
              <w:rPr>
                <w:rFonts w:ascii="Arial" w:eastAsia="Calibri" w:hAnsi="Arial" w:cs="Arial"/>
                <w:color w:val="FFFFFF" w:themeColor="background1"/>
                <w:sz w:val="24"/>
                <w:szCs w:val="24"/>
                <w:lang w:val="en-US" w:eastAsia="en-US"/>
              </w:rPr>
              <w:t>RS Stock No</w:t>
            </w:r>
          </w:p>
        </w:tc>
      </w:tr>
      <w:tr w:rsidR="00A67C46" w:rsidRPr="00334E55" w:rsidTr="00A67C46">
        <w:tc>
          <w:tcPr>
            <w:tcW w:w="2411" w:type="dxa"/>
          </w:tcPr>
          <w:p w:rsidR="00A67C46" w:rsidRDefault="00987F03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22</w:t>
            </w:r>
            <w:r w:rsidR="00A67C46"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00mAh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(min)</w:t>
            </w:r>
          </w:p>
          <w:p w:rsidR="00A67C46" w:rsidRPr="00334E55" w:rsidRDefault="00987F03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Lithium-I</w:t>
            </w:r>
            <w:r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on</w:t>
            </w:r>
          </w:p>
        </w:tc>
        <w:tc>
          <w:tcPr>
            <w:tcW w:w="2626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92 x 23 x 23mm</w:t>
            </w:r>
          </w:p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248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76g</w:t>
            </w:r>
          </w:p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957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775-7504</w:t>
            </w:r>
          </w:p>
        </w:tc>
      </w:tr>
      <w:tr w:rsidR="00A67C46" w:rsidRPr="00334E55" w:rsidTr="00A67C46">
        <w:tc>
          <w:tcPr>
            <w:tcW w:w="2411" w:type="dxa"/>
          </w:tcPr>
          <w:p w:rsidR="00A67C46" w:rsidRPr="00334E55" w:rsidRDefault="00987F03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50</w:t>
            </w:r>
            <w:r w:rsidR="00A67C46"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00mAh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(min)</w:t>
            </w:r>
          </w:p>
          <w:p w:rsidR="00A67C46" w:rsidRPr="00334E55" w:rsidRDefault="00987F03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987F03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Li-polymer</w:t>
            </w:r>
          </w:p>
        </w:tc>
        <w:tc>
          <w:tcPr>
            <w:tcW w:w="2626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102 x 66 x 15.8mm</w:t>
            </w:r>
          </w:p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248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154g</w:t>
            </w:r>
          </w:p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957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775-7508</w:t>
            </w:r>
          </w:p>
        </w:tc>
      </w:tr>
      <w:tr w:rsidR="00A67C46" w:rsidRPr="00334E55" w:rsidTr="00A67C46">
        <w:tc>
          <w:tcPr>
            <w:tcW w:w="2411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10400mAh</w:t>
            </w:r>
            <w:r w:rsidR="00987F03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(min)</w:t>
            </w:r>
          </w:p>
          <w:p w:rsidR="00A67C46" w:rsidRPr="00334E55" w:rsidRDefault="00987F03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Lithium-I</w:t>
            </w:r>
            <w:r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  <w:t>on</w:t>
            </w:r>
          </w:p>
        </w:tc>
        <w:tc>
          <w:tcPr>
            <w:tcW w:w="2626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110 x 73 x 23mm</w:t>
            </w:r>
          </w:p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248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256g</w:t>
            </w:r>
          </w:p>
          <w:p w:rsidR="00A67C46" w:rsidRPr="00334E55" w:rsidRDefault="00A67C46" w:rsidP="005F1311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957" w:type="dxa"/>
          </w:tcPr>
          <w:p w:rsidR="00A67C46" w:rsidRPr="00334E55" w:rsidRDefault="00A67C46" w:rsidP="0042689C">
            <w:pPr>
              <w:spacing w:after="0" w:line="36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334E55">
              <w:rPr>
                <w:rFonts w:ascii="Arial" w:eastAsia="Calibri" w:hAnsi="Arial" w:cs="Arial"/>
                <w:sz w:val="24"/>
                <w:szCs w:val="24"/>
                <w:lang w:eastAsia="en-US"/>
              </w:rPr>
              <w:t>775-7517</w:t>
            </w:r>
          </w:p>
        </w:tc>
      </w:tr>
    </w:tbl>
    <w:p w:rsidR="00A12400" w:rsidRPr="00334E55" w:rsidRDefault="00A12400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A12400" w:rsidRPr="00334E55" w:rsidRDefault="003B7E59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Each model is equipped with dual USB ports, which means you can charge your Raspberry Pi or other digital device while the power bank itself is charging, or alternatively </w:t>
      </w:r>
      <w:r w:rsidR="00A67C46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for the two larger units </w:t>
      </w:r>
      <w:r w:rsidR="00F3290B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you can 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charge two independent devices at the same time.  A micro USB cable</w:t>
      </w:r>
      <w:r w:rsidR="00F3290B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is supplied as standard with each battery pack.</w:t>
      </w:r>
    </w:p>
    <w:p w:rsidR="003B7E59" w:rsidRPr="00334E55" w:rsidRDefault="003B7E59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1F4A5B" w:rsidRPr="00334E55" w:rsidRDefault="001F4A5B" w:rsidP="001F4A5B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The power banks contain</w:t>
      </w:r>
      <w:r w:rsidR="00F3290B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a smart power management controller, with power </w:t>
      </w:r>
      <w:r w:rsidR="001B55C0" w:rsidRPr="00334E55">
        <w:rPr>
          <w:rFonts w:ascii="Arial" w:eastAsia="Calibri" w:hAnsi="Arial" w:cs="Arial"/>
          <w:sz w:val="24"/>
          <w:szCs w:val="24"/>
          <w:lang w:val="en-US" w:eastAsia="en-US"/>
        </w:rPr>
        <w:t>conversion efficiency up to 88%</w:t>
      </w:r>
      <w:r w:rsidR="00F3290B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r w:rsidR="001B55C0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and for safe charging, 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automatically detect</w:t>
      </w:r>
      <w:r w:rsidR="001B55C0" w:rsidRPr="00334E55">
        <w:rPr>
          <w:rFonts w:ascii="Arial" w:eastAsia="Calibri" w:hAnsi="Arial" w:cs="Arial"/>
          <w:sz w:val="24"/>
          <w:szCs w:val="24"/>
          <w:lang w:val="en-US" w:eastAsia="en-US"/>
        </w:rPr>
        <w:t>s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the</w:t>
      </w:r>
      <w:r w:rsidR="00F3290B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r w:rsidR="001B55C0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output </w:t>
      </w:r>
      <w:r w:rsidR="00F3290B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current of the connected power supply before charging. 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 </w:t>
      </w:r>
      <w:r w:rsidRPr="00334E55">
        <w:rPr>
          <w:rFonts w:ascii="Arial" w:eastAsia="Calibri" w:hAnsi="Arial" w:cs="Arial"/>
          <w:sz w:val="24"/>
          <w:szCs w:val="24"/>
          <w:lang w:eastAsia="en-US"/>
        </w:rPr>
        <w:t xml:space="preserve">Safety of the user is </w:t>
      </w:r>
      <w:r w:rsidR="003E201D" w:rsidRPr="00334E55">
        <w:rPr>
          <w:rFonts w:ascii="Arial" w:eastAsia="Calibri" w:hAnsi="Arial" w:cs="Arial"/>
          <w:sz w:val="24"/>
          <w:szCs w:val="24"/>
          <w:lang w:eastAsia="en-US"/>
        </w:rPr>
        <w:t>a key consideration</w:t>
      </w:r>
      <w:r w:rsidRPr="00334E55">
        <w:rPr>
          <w:rFonts w:ascii="Arial" w:eastAsia="Calibri" w:hAnsi="Arial" w:cs="Arial"/>
          <w:sz w:val="24"/>
          <w:szCs w:val="24"/>
          <w:lang w:eastAsia="en-US"/>
        </w:rPr>
        <w:t xml:space="preserve">, as is the quality and reliability of the power source, and each model is designed </w:t>
      </w:r>
      <w:r w:rsidR="003E201D" w:rsidRPr="00334E55">
        <w:rPr>
          <w:rFonts w:ascii="Arial" w:eastAsia="Calibri" w:hAnsi="Arial" w:cs="Arial"/>
          <w:sz w:val="24"/>
          <w:szCs w:val="24"/>
          <w:lang w:eastAsia="en-US"/>
        </w:rPr>
        <w:t xml:space="preserve">with double protection - one for the internal cell and one for the device being charged - 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with over charge, over discharge, over current and short circ</w:t>
      </w:r>
      <w:r w:rsidR="003E201D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uit protection. </w:t>
      </w:r>
    </w:p>
    <w:p w:rsidR="003B7E59" w:rsidRPr="00334E55" w:rsidRDefault="003B7E59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0C7CAE" w:rsidRPr="00334E55" w:rsidRDefault="001F4A5B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Another neat feature is the intelligent </w:t>
      </w:r>
      <w:r w:rsidR="003E201D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LED </w:t>
      </w: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display</w:t>
      </w:r>
      <w:r w:rsidR="003E201D" w:rsidRPr="00334E55">
        <w:rPr>
          <w:rFonts w:ascii="Arial" w:eastAsia="Calibri" w:hAnsi="Arial" w:cs="Arial"/>
          <w:sz w:val="24"/>
          <w:szCs w:val="24"/>
          <w:lang w:val="en-US" w:eastAsia="en-US"/>
        </w:rPr>
        <w:t xml:space="preserve">, which </w:t>
      </w:r>
      <w:r w:rsidR="003E201D" w:rsidRPr="00334E55">
        <w:rPr>
          <w:rFonts w:ascii="Arial" w:eastAsia="Calibri" w:hAnsi="Arial" w:cs="Arial"/>
          <w:sz w:val="24"/>
          <w:szCs w:val="24"/>
          <w:lang w:eastAsia="en-US"/>
        </w:rPr>
        <w:t>indicates the charging status and power levels of the device</w:t>
      </w:r>
      <w:r w:rsidR="00334E55" w:rsidRPr="00334E55">
        <w:rPr>
          <w:rFonts w:ascii="Arial" w:eastAsia="Calibri" w:hAnsi="Arial" w:cs="Arial"/>
          <w:sz w:val="24"/>
          <w:szCs w:val="24"/>
          <w:lang w:val="en-US" w:eastAsia="en-US"/>
        </w:rPr>
        <w:t>.</w:t>
      </w:r>
    </w:p>
    <w:p w:rsidR="00334E55" w:rsidRPr="00334E55" w:rsidRDefault="00334E55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0C7CAE" w:rsidRPr="00334E55" w:rsidRDefault="000C7CAE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334E55">
        <w:rPr>
          <w:rFonts w:ascii="Arial" w:eastAsia="Calibri" w:hAnsi="Arial" w:cs="Arial"/>
          <w:sz w:val="24"/>
          <w:szCs w:val="24"/>
          <w:lang w:val="en-US" w:eastAsia="en-US"/>
        </w:rPr>
        <w:t>As well as being the essential accessory for your portable Raspberry Pi project, these power banks can be used</w:t>
      </w:r>
      <w:r w:rsidRPr="00334E55">
        <w:rPr>
          <w:rFonts w:ascii="Arial" w:eastAsia="Calibri" w:hAnsi="Arial" w:cs="Arial"/>
          <w:sz w:val="24"/>
          <w:szCs w:val="24"/>
          <w:lang w:eastAsia="en-US"/>
        </w:rPr>
        <w:t xml:space="preserve"> with most digital devices with DC 5V input, such as tablets, sma</w:t>
      </w:r>
      <w:r w:rsidR="00267805" w:rsidRPr="00334E55">
        <w:rPr>
          <w:rFonts w:ascii="Arial" w:eastAsia="Calibri" w:hAnsi="Arial" w:cs="Arial"/>
          <w:sz w:val="24"/>
          <w:szCs w:val="24"/>
          <w:lang w:eastAsia="en-US"/>
        </w:rPr>
        <w:t xml:space="preserve">rt phones, portable MP3 players </w:t>
      </w:r>
      <w:r w:rsidRPr="00334E55">
        <w:rPr>
          <w:rFonts w:ascii="Arial" w:eastAsia="Calibri" w:hAnsi="Arial" w:cs="Arial"/>
          <w:sz w:val="24"/>
          <w:szCs w:val="24"/>
          <w:lang w:eastAsia="en-US"/>
        </w:rPr>
        <w:t>and GPS, which means there is no need to carry several chargers with you.</w:t>
      </w:r>
    </w:p>
    <w:p w:rsidR="000C7CAE" w:rsidRPr="00334E55" w:rsidRDefault="000C7CAE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:rsidR="000C7CAE" w:rsidRPr="00A12400" w:rsidRDefault="000C7CAE" w:rsidP="000C7CAE">
      <w:pPr>
        <w:spacing w:after="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334E55">
        <w:rPr>
          <w:rFonts w:ascii="Arial" w:eastAsia="Calibri" w:hAnsi="Arial" w:cs="Arial"/>
          <w:sz w:val="24"/>
          <w:szCs w:val="24"/>
          <w:lang w:eastAsia="en-US"/>
        </w:rPr>
        <w:t xml:space="preserve">The three power bank models </w:t>
      </w:r>
      <w:hyperlink r:id="rId7" w:history="1">
        <w:r w:rsidRPr="00987F03">
          <w:rPr>
            <w:rStyle w:val="Hyperlink"/>
            <w:rFonts w:ascii="Arial" w:eastAsia="Calibri" w:hAnsi="Arial" w:cs="Arial"/>
            <w:sz w:val="24"/>
            <w:szCs w:val="24"/>
            <w:lang w:eastAsia="en-US"/>
          </w:rPr>
          <w:t>PB-2200, PB-52</w:t>
        </w:r>
        <w:bookmarkStart w:id="0" w:name="_GoBack"/>
        <w:bookmarkEnd w:id="0"/>
        <w:r w:rsidRPr="00987F03">
          <w:rPr>
            <w:rStyle w:val="Hyperlink"/>
            <w:rFonts w:ascii="Arial" w:eastAsia="Calibri" w:hAnsi="Arial" w:cs="Arial"/>
            <w:sz w:val="24"/>
            <w:szCs w:val="24"/>
            <w:lang w:eastAsia="en-US"/>
          </w:rPr>
          <w:t>00 and PB-H10400</w:t>
        </w:r>
      </w:hyperlink>
      <w:r w:rsidRPr="00334E55">
        <w:rPr>
          <w:rFonts w:ascii="Arial" w:eastAsia="Calibri" w:hAnsi="Arial" w:cs="Arial"/>
          <w:sz w:val="24"/>
          <w:szCs w:val="24"/>
          <w:lang w:eastAsia="en-US"/>
        </w:rPr>
        <w:t xml:space="preserve"> are all available to purchase direct from RS stock.</w:t>
      </w:r>
    </w:p>
    <w:p w:rsidR="000C7CAE" w:rsidRDefault="000C7CAE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0C7CAE" w:rsidRDefault="000C7CAE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0C7CAE" w:rsidRDefault="000C7CAE" w:rsidP="005F1311">
      <w:pPr>
        <w:spacing w:after="0" w:line="360" w:lineRule="auto"/>
        <w:rPr>
          <w:rFonts w:ascii="Arial" w:eastAsia="Calibri" w:hAnsi="Arial" w:cs="Arial"/>
          <w:sz w:val="24"/>
          <w:szCs w:val="24"/>
          <w:lang w:val="en-US" w:eastAsia="en-US"/>
        </w:rPr>
      </w:pPr>
    </w:p>
    <w:p w:rsidR="00B92F04" w:rsidRDefault="00B92F04"/>
    <w:sectPr w:rsidR="00B92F04" w:rsidSect="00DE5FEE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3B0" w:rsidRDefault="00D913B0">
      <w:pPr>
        <w:spacing w:after="0" w:line="240" w:lineRule="auto"/>
      </w:pPr>
      <w:r>
        <w:separator/>
      </w:r>
    </w:p>
  </w:endnote>
  <w:endnote w:type="continuationSeparator" w:id="0">
    <w:p w:rsidR="00D913B0" w:rsidRDefault="00D9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3B0" w:rsidRDefault="00D913B0">
      <w:pPr>
        <w:spacing w:after="0" w:line="240" w:lineRule="auto"/>
      </w:pPr>
      <w:r>
        <w:separator/>
      </w:r>
    </w:p>
  </w:footnote>
  <w:footnote w:type="continuationSeparator" w:id="0">
    <w:p w:rsidR="00D913B0" w:rsidRDefault="00D9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01D" w:rsidRDefault="003E201D" w:rsidP="00DE5FE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01D" w:rsidRDefault="009C51D0" w:rsidP="00DE5FEE">
    <w:pPr>
      <w:pStyle w:val="Header"/>
      <w:jc w:val="center"/>
    </w:pPr>
    <w:r w:rsidRPr="009C51D0">
      <w:rPr>
        <w:rFonts w:ascii="Arial Narrow" w:hAnsi="Arial Narrow" w:cs="Arial"/>
        <w:b/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8.25pt;height:49.9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7974"/>
    <w:multiLevelType w:val="hybridMultilevel"/>
    <w:tmpl w:val="A8787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F1311"/>
    <w:rsid w:val="000029B5"/>
    <w:rsid w:val="00082EEE"/>
    <w:rsid w:val="000C37B2"/>
    <w:rsid w:val="000C7CAE"/>
    <w:rsid w:val="001B55C0"/>
    <w:rsid w:val="001F4A5B"/>
    <w:rsid w:val="00222172"/>
    <w:rsid w:val="00267805"/>
    <w:rsid w:val="002A4747"/>
    <w:rsid w:val="002D1164"/>
    <w:rsid w:val="002F2E76"/>
    <w:rsid w:val="00334E55"/>
    <w:rsid w:val="003B7E59"/>
    <w:rsid w:val="003E201D"/>
    <w:rsid w:val="0042689C"/>
    <w:rsid w:val="005B7D0F"/>
    <w:rsid w:val="005F1311"/>
    <w:rsid w:val="00643DEF"/>
    <w:rsid w:val="006872BE"/>
    <w:rsid w:val="0069416F"/>
    <w:rsid w:val="00712DF0"/>
    <w:rsid w:val="00754F32"/>
    <w:rsid w:val="00766CAE"/>
    <w:rsid w:val="00892115"/>
    <w:rsid w:val="00987F03"/>
    <w:rsid w:val="009B3C81"/>
    <w:rsid w:val="009C51D0"/>
    <w:rsid w:val="009C7555"/>
    <w:rsid w:val="00A12400"/>
    <w:rsid w:val="00A67C46"/>
    <w:rsid w:val="00B039FD"/>
    <w:rsid w:val="00B92F04"/>
    <w:rsid w:val="00D00CA4"/>
    <w:rsid w:val="00D310F9"/>
    <w:rsid w:val="00D913B0"/>
    <w:rsid w:val="00DD6977"/>
    <w:rsid w:val="00DE5FEE"/>
    <w:rsid w:val="00EB1863"/>
    <w:rsid w:val="00F3290B"/>
    <w:rsid w:val="00F66030"/>
    <w:rsid w:val="00FE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11"/>
    <w:pPr>
      <w:spacing w:after="200" w:line="276" w:lineRule="auto"/>
    </w:pPr>
    <w:rPr>
      <w:rFonts w:ascii="Calibri" w:eastAsia="SimSun" w:hAnsi="Calibri" w:cs="Geneva"/>
      <w:sz w:val="22"/>
      <w:szCs w:val="28"/>
      <w:lang w:val="en-GB"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F1311"/>
    <w:rPr>
      <w:strike w:val="0"/>
      <w:dstrike w:val="0"/>
      <w:color w:val="2B7CAC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5F13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311"/>
    <w:rPr>
      <w:rFonts w:ascii="Calibri" w:eastAsia="SimSun" w:hAnsi="Calibri" w:cs="Geneva"/>
      <w:sz w:val="22"/>
      <w:szCs w:val="28"/>
      <w:lang w:val="en-GB" w:eastAsia="zh-CN" w:bidi="th-TH"/>
    </w:rPr>
  </w:style>
  <w:style w:type="table" w:styleId="TableGrid">
    <w:name w:val="Table Grid"/>
    <w:basedOn w:val="TableNormal"/>
    <w:uiPriority w:val="59"/>
    <w:rsid w:val="0042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34E55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4E55"/>
    <w:rPr>
      <w:rFonts w:ascii="Calibri" w:eastAsia="SimSun" w:hAnsi="Calibri" w:cs="Angsana New"/>
      <w:sz w:val="22"/>
      <w:szCs w:val="28"/>
      <w:lang w:val="en-GB" w:eastAsia="zh-CN" w:bidi="th-T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11"/>
    <w:pPr>
      <w:spacing w:after="200" w:line="276" w:lineRule="auto"/>
    </w:pPr>
    <w:rPr>
      <w:rFonts w:ascii="Calibri" w:eastAsia="SimSun" w:hAnsi="Calibri" w:cs="Geneva"/>
      <w:sz w:val="22"/>
      <w:szCs w:val="28"/>
      <w:lang w:val="en-GB"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F1311"/>
    <w:rPr>
      <w:strike w:val="0"/>
      <w:dstrike w:val="0"/>
      <w:color w:val="2B7CAC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5F13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311"/>
    <w:rPr>
      <w:rFonts w:ascii="Calibri" w:eastAsia="SimSun" w:hAnsi="Calibri" w:cs="Geneva"/>
      <w:sz w:val="22"/>
      <w:szCs w:val="28"/>
      <w:lang w:val="en-GB" w:eastAsia="zh-CN" w:bidi="th-TH"/>
    </w:rPr>
  </w:style>
  <w:style w:type="table" w:styleId="TableGrid">
    <w:name w:val="Table Grid"/>
    <w:basedOn w:val="TableNormal"/>
    <w:uiPriority w:val="59"/>
    <w:rsid w:val="0042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k.rs-online.com/web/c/batteries/rechargeable-batteries/power-banks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Publitek Ltd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Youson</dc:creator>
  <cp:lastModifiedBy>AWS User</cp:lastModifiedBy>
  <cp:revision>5</cp:revision>
  <cp:lastPrinted>2013-07-24T14:57:00Z</cp:lastPrinted>
  <dcterms:created xsi:type="dcterms:W3CDTF">2013-07-29T10:16:00Z</dcterms:created>
  <dcterms:modified xsi:type="dcterms:W3CDTF">2013-07-29T10:29:00Z</dcterms:modified>
</cp:coreProperties>
</file>