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Pipeline Health Monitor &amp; Recruit Strategizer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Workflow Summary — 6 June 2026</w:t>
      </w: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Two connected n8n workflows form an AI-powered hiring pipeline monitor. Workflow 1 (Pipeline Health Monitor) runs monthly — it collects candidate data from Google Sheets, assesses each applicant's pipeline health using AI agents, and escalates stalled candidates to Workflow 2 (Recruit Strategizer), which identifies bottlenecks and emails a strategic HTML report to the recruitment manager.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AI: </w:t>
      </w:r>
      <w:r>
        <w:rPr>
          <w:rFonts w:ascii="Arial" w:cs="Arial" w:eastAsia="Arial" w:hAnsi="Arial"/>
          <w:sz w:val="20"/>
          <w:szCs w:val="20"/>
        </w:rPr>
        <w:t xml:space="preserve">Mistral Cloud (devstral-medium / devstral-latest) with OpenRouter GPT-4o/mini fallback on every agent.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 parsers: </w:t>
      </w:r>
      <w:r>
        <w:rPr>
          <w:rFonts w:ascii="Arial" w:cs="Arial" w:eastAsia="Arial" w:hAnsi="Arial"/>
          <w:sz w:val="20"/>
          <w:szCs w:val="20"/>
        </w:rPr>
        <w:t xml:space="preserve">Structured JSON schemas with autoFix enforced at every AI stage.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handling: </w:t>
      </w:r>
      <w:r>
        <w:rPr>
          <w:rFonts w:ascii="Arial" w:cs="Arial" w:eastAsia="Arial" w:hAnsi="Arial"/>
          <w:sz w:val="20"/>
          <w:szCs w:val="20"/>
        </w:rPr>
        <w:t xml:space="preserve">Each agent has a dedicated handler — errors are logged to Google Sheets and emailed instantly.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Global safety net: </w:t>
      </w:r>
      <w:r>
        <w:rPr>
          <w:rFonts w:ascii="Arial" w:cs="Arial" w:eastAsia="Arial" w:hAnsi="Arial"/>
          <w:sz w:val="20"/>
          <w:szCs w:val="20"/>
        </w:rPr>
        <w:t xml:space="preserve">Error workflow ID D1D3wKuHpvAP9fQ2 catches any uncaught exceptions.</w:t>
      </w:r>
    </w:p>
    <w:p>
      <w:pPr>
        <w:spacing w:after="12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Workflow 1 — Pipeline Health Monitor  (Monthly · Inactive)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Schedule 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 monthly; simultaneously triggers all three Google Sheets reads.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rows (×3)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Applicants, Interview Feedback, and Historical Data tabs from Google Sheets.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If1 / If2 / If3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each dataset — discards rows with an empty row_number to prevent null data propagating.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Joins Applicants + Interview Feedback on Applicant ID; Remove Duplicates then cleans the result.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Merge1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Combines the deduplicated applicant records with Historical Data into one unified dataset.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Loop Over 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Batches records in groups of 20 and loops them through the AI review cycle.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pipeline reviewer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(Mistral devstral-medium + GPT-4o fallback). Reads candidate name, stage, days in stage, and feedback sentiment; outputs a structured candidate 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(Mistral devstral-medium + GPT-4-1106 fallback). Flags each candidate as Healthy or Stalled (&gt;7 days in one stage) and assigns a risk_factor.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 (stall check)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 stalled candidates to Aggregate for escalation; healthy candidates are also collected.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Aggregate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Collects all assessed items into a single array payload for the sub-workflow call.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Recruit Strategizer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Invokes Workflow 2 as a sub-workflow, passing the full aggregated candidate dataset.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Handlers (×2)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 failures from the reviewer and assessor agents. Each logs { Timestamp, Error, Solution } to a Google Sheets tab and sends a Gmail alert.</w:t>
            </w:r>
          </w:p>
        </w:tc>
      </w:tr>
    </w:tbl>
    <w:p>
      <w:pPr>
        <w:spacing w:after="12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Workflow 2 — Recruit Strategizer  (Sub-workflow · Active)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(Trigger)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Receives passthrough data from Workflow 1's Aggregate node.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recruitment strategiser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(Mistral devstral-medium + OpenRouter fallback). Identifies the pipeline bottleneck stage and generates 4 improvement recommendations as an HTML-formatted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Structured Output Parser5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Enforces { bottleneck_stage, recommendations[4], html_report } JSON schema with autoFix enabled.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 Fields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Extracts and labels the three output components (bottleneck stage, recommendations, HTML report).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a message (Gmail)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Emails the HTML strategy report to the administrator with bottleneck and recommendations.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Handler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Catches strategiser failures; logs { Timestamp, Error, Solution } to Google Sheets and sends a Gmail alert.</w:t>
            </w:r>
          </w:p>
        </w:tc>
      </w:tr>
    </w:tbl>
    <w:p>
      <w:pPr>
        <w:spacing w:after="120"/>
      </w:pPr>
    </w:p>
    <w:p>
      <w:pPr>
        <w:pBdr>
          <w:bottom w:val="single" w:color="2E75B6" w:sz="4" w:space="1"/>
        </w:pBd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Report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2026-06-06T19:05:32.102Z</dcterms:created>
  <dcterms:modified xsi:type="dcterms:W3CDTF">2026-06-06T19:05:32.102Z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