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Sales Performance Analysis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1D7A6B"/>
          <w:sz w:val="20"/>
          <w:szCs w:val="20"/>
        </w:rPr>
        <w:t xml:space="preserve">A Data Analysis Case Study | Jan 2023 – Dec 2024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Ernestina Thembi Zah  |  linkedin.com/in/zahthembiernestina  |  tinathembizah@gmail.com</w:t>
      </w:r>
    </w:p>
    <w:p>
      <w:pPr>
        <w:pBdr>
          <w:bottom w:val="single" w:color="1D7A6B" w:sz="8" w:space="1"/>
        </w:pBdr>
        <w:spacing w:after="0" w:before="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 Business Task</w:t>
      </w:r>
    </w:p>
    <w:p>
      <w:pPr>
        <w:pBdr>
          <w:bottom w:val="single" w:color="1D7A6B" w:sz="8" w:space="1"/>
        </w:pBdr>
        <w:spacing w:after="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100" w:before="0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This project analyses two years of sales transaction data (January 2023 – December 2024) for a mid-size e-commerce business operating across five global regions. The business question driving this analysis: where should the company focus its sales, marketing, and inventory investments to maximise revenue growth in the coming year?</w:t>
      </w:r>
    </w:p>
    <w:p>
      <w:pPr>
        <w:spacing w:after="100" w:before="0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Specific questions addressed:</w:t>
      </w:r>
    </w:p>
    <w:p>
      <w:pPr>
        <w:spacing w:after="30" w:before="30"/>
      </w:pPr>
      <w:r>
        <w:rPr>
          <w:rFonts w:ascii="Georgia" w:cs="Georgia" w:eastAsia="Georgia" w:hAnsi="Georgia"/>
          <w:b/>
          <w:bCs/>
          <w:color w:val="1D7A6B"/>
          <w:sz w:val="21"/>
          <w:szCs w:val="21"/>
        </w:rPr>
        <w:t xml:space="preserve">1.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Which regions and product categories generate the most revenue?</w:t>
      </w:r>
    </w:p>
    <w:p>
      <w:pPr>
        <w:spacing w:after="30" w:before="30"/>
      </w:pPr>
      <w:r>
        <w:rPr>
          <w:rFonts w:ascii="Georgia" w:cs="Georgia" w:eastAsia="Georgia" w:hAnsi="Georgia"/>
          <w:b/>
          <w:bCs/>
          <w:color w:val="1D7A6B"/>
          <w:sz w:val="21"/>
          <w:szCs w:val="21"/>
        </w:rPr>
        <w:t xml:space="preserve">2.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Are there seasonal patterns in sales that should inform inventory and staffing decisions?</w:t>
      </w:r>
    </w:p>
    <w:p>
      <w:pPr>
        <w:spacing w:after="30" w:before="30"/>
      </w:pPr>
      <w:r>
        <w:rPr>
          <w:rFonts w:ascii="Georgia" w:cs="Georgia" w:eastAsia="Georgia" w:hAnsi="Georgia"/>
          <w:b/>
          <w:bCs/>
          <w:color w:val="1D7A6B"/>
          <w:sz w:val="21"/>
          <w:szCs w:val="21"/>
        </w:rPr>
        <w:t xml:space="preserve">3.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Which sales channels (Online, Retail Partner, Marketplace) perform best, and where?</w:t>
      </w:r>
    </w:p>
    <w:p>
      <w:pPr>
        <w:spacing w:after="30" w:before="30"/>
      </w:pPr>
      <w:r>
        <w:rPr>
          <w:rFonts w:ascii="Georgia" w:cs="Georgia" w:eastAsia="Georgia" w:hAnsi="Georgia"/>
          <w:b/>
          <w:bCs/>
          <w:color w:val="1D7A6B"/>
          <w:sz w:val="21"/>
          <w:szCs w:val="21"/>
        </w:rPr>
        <w:t xml:space="preserve">4.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What is the value of repeat customers compared to one-time buyers?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 Data Source &amp; Preparation</w:t>
      </w:r>
    </w:p>
    <w:p>
      <w:pPr>
        <w:pBdr>
          <w:bottom w:val="single" w:color="1D7A6B" w:sz="8" w:space="1"/>
        </w:pBdr>
        <w:spacing w:after="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100" w:before="0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dataset consisted of 1,897 raw order records including order ID, date, customer ID, region, product category, sales channel, unit price, and quantity. As is typical of real-world business data, the raw export contained multiple data quality issues that required systematic cleaning before analysis.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7A6B"/>
          <w:sz w:val="22"/>
          <w:szCs w:val="22"/>
        </w:rPr>
        <w:t xml:space="preserve">2.1 Data Cleaning Steps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Removed 47 exact duplicate order records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Standardised order dates across 3 inconsistent formats (YYYY-MM-DD, DD/MM/YYYY, MM-DD-YYYY) into a single ISO format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Normalised product category text — fixed inconsistent casing (e.g. 'electronics', 'ELECTRONICS', 'Electronics' → 'Electronics')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Standardised region naming — merged abbreviations and variants ('APAC' → 'Asia Pacific', 'N. America' → 'North America')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Handled 27 missing region values by labelling as 'Unknown' for transparent reporting rather than silent removal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Imputed 37 missing unit_price values using the median price for that product category — preserving category-level pricing patterns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Identified and capped 5 extreme outlier unit prices (data entry errors, e.g. a $98,661 'unit price') at 2× the category's 99th percentile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Created calculated fields: revenue (unit_price × quantity), order_month, order_quarter, and order_year for time-based analysis</w:t>
      </w:r>
    </w:p>
    <w:p>
      <w:pPr>
        <w:spacing w:after="100" w:before="0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After cleaning, the dataset contained 1,850 valid order records totalling $729,939.78 in revenue across 494 unique customers.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 Analysis &amp; Key Findings</w:t>
      </w:r>
    </w:p>
    <w:p>
      <w:pPr>
        <w:pBdr>
          <w:bottom w:val="single" w:color="1D7A6B" w:sz="8" w:space="1"/>
        </w:pBdr>
        <w:spacing w:after="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7A6B"/>
          <w:sz w:val="22"/>
          <w:szCs w:val="22"/>
        </w:rPr>
        <w:t xml:space="preserve">3.1 Regional Performance</w:t>
      </w:r>
    </w:p>
    <w:p>
      <w:pPr>
        <w:spacing w:after="100" w:before="0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North America and Europe are the company's two strongest markets, together generating 58% of total revenue. North America led with $224,227 across 559 orders, followed closely by Europe at $202,114 across 499 orders. Notably, the Middle East — while the smallest market by volume (105 orders) — showed the highest average order value within its Marketplace channel ($571.91), suggesting an opportunity for targeted premium-product expansion in that region.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7A6B"/>
          <w:sz w:val="22"/>
          <w:szCs w:val="22"/>
        </w:rPr>
        <w:t xml:space="preserve">3.2 Category Performance — A Concentration Risk</w:t>
      </w:r>
    </w:p>
    <w:p>
      <w:pPr>
        <w:spacing w:after="100" w:before="0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Electronics dominates the product mix, generating $532,604 — 73% of total revenue — from just 541 orders (29% of order volume). This means Electronics orders carry a dramatically higher average value than other categories. While this concentration drives strong revenue, it also represents a business risk: any supply chain disruption, price change, or demand shift in Electronics would have an outsized impact on overall revenue. Home &amp; Kitchen (10.5%) and Sports &amp; Outdoors (8.0%) are the next largest categories but represent significant headroom for growth given their lower current share.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7A6B"/>
          <w:sz w:val="22"/>
          <w:szCs w:val="22"/>
        </w:rPr>
        <w:t xml:space="preserve">3.3 Seasonal Trends</w:t>
      </w:r>
    </w:p>
    <w:p>
      <w:pPr>
        <w:spacing w:after="100" w:before="0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Monthly revenue data confirms a clear Q4 seasonal pattern. November and December consistently outperform other months — November 2023 generated $50,037 (the single highest month in the dataset) and December 2024 generated $45,987. Q4 revenue was $106,858 in 2023 and $115,293 in 2024 — in both years, the highest-revenue quarter by a wide margin. This has direct implications for inventory planning, staffing, and marketing spend timing: the business should ensure adequate stock levels and support capacity are in place by early October each year.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7A6B"/>
          <w:sz w:val="22"/>
          <w:szCs w:val="22"/>
        </w:rPr>
        <w:t xml:space="preserve">3.4 Channel Performance</w:t>
      </w:r>
    </w:p>
    <w:p>
      <w:pPr>
        <w:spacing w:after="100" w:before="0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Online channel drives the highest order volume (1,073 orders, 58% of total) but Retail Partner orders carry the highest average value at $427.21 per order — 12% higher than Online ($380.34). This suggests Retail Partner relationships may involve larger bulk or B2B-style purchases. Marketplace sits in between at $396.66 average order value. A blended channel strategy — using Online for volume and nurturing Retail Partner relationships for higher-value transactions — appears to be working, but there may be an opportunity to apply Retail Partner pricing or bundling strategies to the Online channel to lift its average order value.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7A6B"/>
          <w:sz w:val="22"/>
          <w:szCs w:val="22"/>
        </w:rPr>
        <w:t xml:space="preserve">3.5 Customer Retention — The Biggest Insight</w:t>
      </w:r>
    </w:p>
    <w:p>
      <w:pPr>
        <w:spacing w:after="100" w:before="0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This is the most actionable finding in the dataset. Of 494 unique customers, 446 (90%) are repeat buyers, and they generate $711,195 — 97.4% of total revenue. The average repeat buyer generates $1,594.61 in lifetime revenue, compared to just $390.51 for one-time buyers — a 4.1× difference. This strongly suggests that customer retention initiatives (loyalty programmes, re-engagement email campaigns, post-purchase follow-up) would have a far higher return on investment than acquisition-focused spending, since the data shows acquired customers very rarely remain one-time buyers — the business already converts new customers into repeat buyers at a high rate, and protecting that relationship is where the value lies.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 Recommendations</w:t>
      </w:r>
    </w:p>
    <w:p>
      <w:pPr>
        <w:pBdr>
          <w:bottom w:val="single" w:color="1D7A6B" w:sz="8" w:space="1"/>
        </w:pBdr>
        <w:spacing w:after="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30" w:before="30"/>
      </w:pPr>
      <w:r>
        <w:rPr>
          <w:rFonts w:ascii="Georgia" w:cs="Georgia" w:eastAsia="Georgia" w:hAnsi="Georgia"/>
          <w:b/>
          <w:bCs/>
          <w:color w:val="1D7A6B"/>
          <w:sz w:val="21"/>
          <w:szCs w:val="21"/>
        </w:rPr>
        <w:t xml:space="preserve">1.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Protect and grow the Electronics category, but build a deliberate diversification plan for Home &amp; Kitchen and Sports &amp; Outdoors to reduce revenue concentration risk over the next 12–18 months.</w:t>
      </w:r>
    </w:p>
    <w:p>
      <w:pPr>
        <w:spacing w:after="30" w:before="30"/>
      </w:pPr>
      <w:r>
        <w:rPr>
          <w:rFonts w:ascii="Georgia" w:cs="Georgia" w:eastAsia="Georgia" w:hAnsi="Georgia"/>
          <w:b/>
          <w:bCs/>
          <w:color w:val="1D7A6B"/>
          <w:sz w:val="21"/>
          <w:szCs w:val="21"/>
        </w:rPr>
        <w:t xml:space="preserve">2.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Plan Q4 inventory and staffing 6–8 weeks in advance, using the consistent November–December revenue spike (35–40% above average months) as a forecasting baseline.</w:t>
      </w:r>
    </w:p>
    <w:p>
      <w:pPr>
        <w:spacing w:after="30" w:before="30"/>
      </w:pPr>
      <w:r>
        <w:rPr>
          <w:rFonts w:ascii="Georgia" w:cs="Georgia" w:eastAsia="Georgia" w:hAnsi="Georgia"/>
          <w:b/>
          <w:bCs/>
          <w:color w:val="1D7A6B"/>
          <w:sz w:val="21"/>
          <w:szCs w:val="21"/>
        </w:rPr>
        <w:t xml:space="preserve">3.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Pilot a loyalty or retention programme — given that repeat buyers already generate 97% of revenue, even a small improvement in repeat purchase frequency would have an outsized impact on total revenue.</w:t>
      </w:r>
    </w:p>
    <w:p>
      <w:pPr>
        <w:spacing w:after="30" w:before="30"/>
      </w:pPr>
      <w:r>
        <w:rPr>
          <w:rFonts w:ascii="Georgia" w:cs="Georgia" w:eastAsia="Georgia" w:hAnsi="Georgia"/>
          <w:b/>
          <w:bCs/>
          <w:color w:val="1D7A6B"/>
          <w:sz w:val="21"/>
          <w:szCs w:val="21"/>
        </w:rPr>
        <w:t xml:space="preserve">4.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Investigate the Middle East Marketplace channel's high average order value ($571.91) as a potential template for premium positioning in other regions.</w:t>
      </w:r>
    </w:p>
    <w:p>
      <w:pPr>
        <w:spacing w:after="30" w:before="30"/>
      </w:pPr>
      <w:r>
        <w:rPr>
          <w:rFonts w:ascii="Georgia" w:cs="Georgia" w:eastAsia="Georgia" w:hAnsi="Georgia"/>
          <w:b/>
          <w:bCs/>
          <w:color w:val="1D7A6B"/>
          <w:sz w:val="21"/>
          <w:szCs w:val="21"/>
        </w:rPr>
        <w:t xml:space="preserve">5. 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Test bundling or minimum-order incentives on the Online channel to close the average order value gap with Retail Partner ($380 vs $427).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 Tools &amp; Methodology</w:t>
      </w:r>
    </w:p>
    <w:p>
      <w:pPr>
        <w:pBdr>
          <w:bottom w:val="single" w:color="1D7A6B" w:sz="8" w:space="1"/>
        </w:pBdr>
        <w:spacing w:after="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100" w:before="0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This analysis followed the data analysis lifecycle taught in the Google Data Analytics Professional Certificate: Ask, Prepare, Process, Analyse, Share, and Act.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Data cleaning and preparation: Python (pandas)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Business question analysis: SQL (8 queries covering regional, category, channel, seasonal, and customer segmentation analysis)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Dashboard and visualisation: Microsoft Excel — KPI summary, pivot tables, bar/line/pie charts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All code, queries, and the full dataset are available in the accompanying GitHub repository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— End of report —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2026-06-15T18:15:29.817Z</dcterms:created>
  <dcterms:modified xsi:type="dcterms:W3CDTF">2026-06-15T18:15:29.826Z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