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This {test} report contains the departments of the company and the employees each department has: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305"/>
          <w:b w:val="1"/>
          <w:sz w:val="20"/>
          <w:szCs w:val="20"/>
          <w:lang w:val="en-US"/>
        </w:rPr>
      </w:pPr>
      <w:r>
        <w:rPr>
          <w:rStyle w:val="C34"/>
          <w:lang w:val="en-US"/>
        </w:rPr>
        <w:t>DEPARTMENTS: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Δοκός σε ενδιάμεσο όροφο  (6cm - Β ζώνη) (Νέο κτήριο)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3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Διπλή δρομική-ορθοδρομική οπτοπλινθοδομή (6cm - Β ζώνη) (Νέο κτήριο)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4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Διπλή δρομική-ορθοδρομική οπτοπλινθοδομή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Διπλή δρομική-ορθοδρομική οπτοπλινθοδομή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Διπλή δρομική-ορθοδρομική οπτοπλινθοδομή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Διπλή δρομική-ορθοδρομική οπτοπλινθοδομή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Διπλή δρομική-ορθοδρομική οπτοπλινθοδομή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Υποστύλωμα εξωτερικής γωνίας  (6cm - Β ζώνη) (Νέο κτήριο)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5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Υποστύλωμα εξωτερικής γωνίας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Υποστύλωμα εξωτερικής γωνίας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Υποστύλωμα εξωτερικής γωνίας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Υποστύλωμα εξωτερικής γωνίας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Δοκός σε ενδιάμεσο όροφο  (6cm - Β ζώνη) (Νέο κτήριο)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6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Δοκός σε ενδιάμεσο όροφο 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Δάπεδο σε επαφή με το έδαφος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7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Κεραμικά πλακίδια δαπέδου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Tσιμεντοκονίαμα, επίστρωση τσιμέντου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Ασφαλτικά φύλλα (ασφαλτόπανα)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Δάπεδο σε επαφή με το έδαφος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This is 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 xml:space="preserve">Βατό δώμα  με ανεστραμμένη μόνωση (6cm - Β ζώνη) (Νέο κτήριο)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.</w:t>
      </w: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 xml:space="preserve"> </w:t>
      </w:r>
    </w:p>
    <w:tbl>
      <w:tblPr>
        <w:tblStyle w:val="T8"/>
        <w:tblW w:w="0" w:type="auto"/>
        <w:tblInd w:w="720" w:type="dxa"/>
        <w:tblLayout w:type="autofit"/>
        <w:tblLook w:val="04A0"/>
      </w:tblPr>
      <w:tblGrid/>
      <w:tr>
        <w:tc>
          <w:tcPr>
            <w:tcW w:w="5484" w:type="dxa"/>
          </w:tcPr>
          <w:p>
            <w:pPr>
              <w:pStyle w:val="P68"/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Τύπος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>Στοιχείο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Tσιμεντοκονίαμα, επίστρωση τσιμέντου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Ασφαλτικά φύλλα (ασφαλτόπανα)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  <w:tr>
        <w:tc>
          <w:tcPr>
            <w:tcW w:w="5484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99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  <w:tc>
          <w:tcPr>
            <w:tcW w:w="1276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</w:tcPr>
          <w:p>
            <w:pPr>
              <w:pStyle w:val="P68"/>
              <w:rPr>
                <w:rFonts w:ascii="Tahoma" w:hAnsi="Tahoma" w:cs="Tahoma" w:eastAsia="Tahoma"/>
                <w:b w:val="1"/>
                <w:noProof w:val="1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pStyle w:val="P68"/>
        <w:ind w:hanging="720" w:left="72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br w:type="textWrapping"/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2022-04-15T17:24:24Z</dcterms:modified>
  <cp:revision>321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