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Όψη-00.02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Όψη-00.03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Όψη-00.04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API/21.2.7.0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2022-06-20T14:59:51Z</dcterms:modified>
  <cp:revision>350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