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4.0.8217.22074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161.902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9.36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39.522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335.384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395.22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0.848600779312788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0.75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2.53557852952082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2.54158867570823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4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5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6"/>
        <w:tblW w:w="0" w:type="auto"/>
        <w:tblLayout w:type="autofit"/>
        <w:tblLook w:val="04A0"/>
      </w:tblPr>
      <w:tblGrid/>
      <w:tr>
        <w:tc>
          <w:tcPr>
            <w:tcW w:w="1337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 xml:space="preserve">για 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  <w:t>τους υπολογισμούς ενεργειακής απόδοσης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7"/>
        <w:tblW w:w="0" w:type="auto"/>
        <w:tblLayout w:type="autofit"/>
        <w:tblLook w:val="04A0"/>
      </w:tblPr>
      <w:tblGrid/>
      <w:tr>
        <w:tc>
          <w:tcPr>
            <w:tcW w:w="66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Συνολικά συγκεντρωτικά στοιχεία για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8"/>
        <w:tblW w:w="0" w:type="auto"/>
        <w:tblLayout w:type="autofit"/>
        <w:tblLook w:val="04A0"/>
      </w:tblPr>
      <w:tblGrid/>
      <w:tr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n×ΣΑ</w:t>
              <w:br w:type="textWrapping"/>
              <w:t>[m²]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b×n×Σ(U×A)</w:t>
              <w:br w:type="textWrapping"/>
              <w:t>[W/K]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76.336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32.1451745395735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18.696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12.645692126625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18.696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6.32284606331252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85.566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36.2447349946976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85.566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36.2447349946976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20.826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13.5553806104063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20.826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6.77769030520316</w:t>
            </w:r>
          </w:p>
        </w:tc>
      </w:tr>
      <w:tr>
        <w:tc>
          <w:tcPr>
            <w:tcW w:w="7630" w:type="dxa"/>
            <w:gridSpan w:val="5"/>
            <w:tcBorders>
              <w:left w:val="nil"/>
              <w:bottom w:val="nil"/>
            </w:tcBorders>
          </w:tcPr>
          <w:p>
            <w:pPr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Συνολικά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5. Κατακόρυφα αδιαφανή δομικά στοιχεία</w:t>
      </w:r>
      <w:r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Οριζόντιες αδιαφανείς επιφάνειες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69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Δάπεδο σε επαφή με το έδαφος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Δάπεδο-00.01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32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0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Στέγη-01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46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Calibri" w:hAnsi="Calibri" w:cs="Calibri" w:eastAsia="Calibri"/>
          <w:sz w:val="20"/>
        </w:rPr>
      </w:pPr>
    </w:p>
    <w:p>
      <w:pPr>
        <w:rPr>
          <w:rFonts w:ascii="Calibri" w:hAnsi="Calibri" w:cs="Calibri" w:eastAsia="Calibri"/>
          <w:b w:val="1"/>
          <w:bCs w:val="1"/>
          <w:sz w:val="20"/>
          <w:lang w:val="en-US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 xml:space="preserve"> </w:t>
      </w:r>
    </w:p>
    <w:tbl>
      <w:tblPr>
        <w:tblStyle w:val="T71"/>
        <w:tblW w:w="0" w:type="auto"/>
        <w:jc w:val="center"/>
        <w:tblLayout w:type="autofit"/>
        <w:tblLook w:val="04A0"/>
      </w:tblPr>
      <w:tblGrid/>
      <w:tr>
        <w:trPr>
          <w:jc w:val="center"/>
        </w:trPr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#Τύπος δομικού στοιχείου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b×ΣΑ×U</w:t>
              <w:br w:type="textWrapping"/>
              <w:t>[W/K]</w:t>
            </w: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sz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Calibri"/>
          <w:b w:val="1"/>
          <w:bCs w:val="1"/>
          <w:color w:val="000000"/>
        </w:rPr>
      </w:pPr>
      <w:r>
        <w:rPr>
          <w:rFonts w:ascii="Tahoma" w:hAnsi="Tahoma" w:cs="Tahoma" w:eastAsia="Calibri"/>
          <w:b w:val="1"/>
          <w:bCs w:val="1"/>
          <w:color w:val="000000"/>
        </w:rPr>
        <w:t>Σχηματική τομή επιπέδων κτηρίου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1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0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1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2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3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4">
    <w:name w:val="Table Grid1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5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6">
    <w:name w:val="Table Grid1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7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8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9">
    <w:name w:val="Table Grid1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0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1">
    <w:name w:val="Table Grid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2">
    <w:name w:val="Table Grid1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3">
    <w:name w:val="Table Grid1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4">
    <w:name w:val="Table Grid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5">
    <w:name w:val="Table Grid1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6">
    <w:name w:val="Table Grid1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7">
    <w:name w:val="Table Grid1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8">
    <w:name w:val="Table Grid1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9">
    <w:name w:val="Table Grid1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0">
    <w:name w:val="Table Grid1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1">
    <w:name w:val="Table Grid1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2">
    <w:name w:val="Table Grid1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3">
    <w:name w:val="Table Grid1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4">
    <w:name w:val="Table Grid110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5">
    <w:name w:val="Table Grid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6">
    <w:name w:val="Table Grid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7">
    <w:name w:val="Table Grid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8">
    <w:name w:val="Table Grid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9">
    <w:name w:val="Table Grid1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0">
    <w:name w:val="Table Grid1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1">
    <w:name w:val="Table Grid12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2022-07-11T14:14:41Z</dcterms:modified>
  <cp:revision>385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