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4.0.8217.22074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Β</w:t>
      </w: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161.902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9.36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39.522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335.384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395.22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0.848600779312788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0.75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2.53557852952082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2.48158867570823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2.54158867570823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37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staName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staHeatInsulationRecNumber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staArea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staB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staGroundDeep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staK2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0"/>
          <w:szCs w:val="2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4. Κατακόρυφα αδιαφανή δομικά στοιχεία</w:t>
      </w:r>
      <w:r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Calibri"/>
          <w:b w:val="0"/>
          <w:bCs w:val="1"/>
          <w:noProof w:val="0"/>
          <w:color w:val="auto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Επίπεδο:</w:t>
      </w: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Ισόγειο</w:t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4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  <w:t>Συγκεντρωτικά στοιχεία κατακόρυφων δομικών στοιχείων</w:t>
        <w:br w:type="textWrapping"/>
        <w:t>για τον έλεγχο ενεργειακής απόδοσης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5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6"/>
        <w:tblW w:w="0" w:type="auto"/>
        <w:tblLayout w:type="autofit"/>
        <w:tblLook w:val="04A0"/>
      </w:tblPr>
      <w:tblGrid/>
      <w:tr>
        <w:tc>
          <w:tcPr>
            <w:tcW w:w="1337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92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02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 xml:space="preserve">για 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  <w:t>τους υπολογισμούς ενεργειακής απόδοσης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7"/>
        <w:tblW w:w="0" w:type="auto"/>
        <w:tblLayout w:type="autofit"/>
        <w:tblLook w:val="04A0"/>
      </w:tblPr>
      <w:tblGrid/>
      <w:tr>
        <w:tc>
          <w:tcPr>
            <w:tcW w:w="66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Συνολικά συγκεντρωτικά στοιχεία για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8"/>
        <w:tblW w:w="0" w:type="auto"/>
        <w:tblLayout w:type="autofit"/>
        <w:tblLook w:val="04A0"/>
      </w:tblPr>
      <w:tblGrid/>
      <w:tr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n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b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n×ΣΑ</w:t>
              <w:br w:type="textWrapping"/>
              <w:t>[m²]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b×n×Σ(U×A)</w:t>
              <w:br w:type="textWrapping"/>
              <w:t>[W/K]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76.336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32.1451745395735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18.696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12.645692126625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18.696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6.32284606331252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85.566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36.2447349946976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85.566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36.2447349946976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20.826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13.5553806104063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20.826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6.77769030520316</w:t>
            </w:r>
          </w:p>
        </w:tc>
      </w:tr>
      <w:tr>
        <w:tc>
          <w:tcPr>
            <w:tcW w:w="7630" w:type="dxa"/>
            <w:gridSpan w:val="5"/>
            <w:tcBorders>
              <w:left w:val="nil"/>
              <w:bottom w:val="nil"/>
            </w:tcBorders>
          </w:tcPr>
          <w:p>
            <w:pPr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Συνολικά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</w:rPr>
        <w:t>5. Κατακόρυφα αδιαφανή δομικά στοιχεία</w:t>
      </w:r>
      <w:r>
        <w:rPr>
          <w:rFonts w:asciiTheme="minorHAnsi" w:hAnsiTheme="minorHAnsi" w:cstheme="minorHAnsi"/>
          <w:color w:val="800000"/>
          <w:szCs w:val="22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>Οριζόντιες αδιαφανείς επιφάνειες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69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Δάπεδο σε επαφή με το έδαφος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Δάπεδο-00.01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32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70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Στέγη-01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46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Συγκεντρωτικά στοιχεία για τα αδιαφανή οριζόντια στοιχεία</w:t>
        <w:br w:type="textWrapping"/>
        <w:t>για τον έλεγχο θερμομονωτικής επάρκειας</w:t>
      </w: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Calibri" w:hAnsi="Calibri" w:cs="Calibri" w:eastAsia="Calibri"/>
          <w:sz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 xml:space="preserve"> </w:t>
      </w:r>
    </w:p>
    <w:tbl>
      <w:tblPr>
        <w:tblStyle w:val="T71"/>
        <w:tblW w:w="0" w:type="auto"/>
        <w:jc w:val="center"/>
        <w:tblLayout w:type="autofit"/>
        <w:tblLook w:val="04A0"/>
      </w:tblPr>
      <w:tblGrid/>
      <w:tr>
        <w:trPr>
          <w:jc w:val="center"/>
        </w:trPr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#Τύπος δομικού στοιχείου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b×ΣΑ×U</w:t>
              <w:br w:type="textWrapping"/>
              <w:t>[W/K]</w:t>
            </w: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Ισόγειο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Ισόγειο : Κάτοψη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A5HETElementTypeName}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1ος Όροφος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1ος Όροφος : Κάτοψη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A5HETElementTypeName}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Συνολικά</w:t>
            </w:r>
          </w:p>
        </w:tc>
        <w:tc>
          <w:tcPr>
            <w:tcW w:w="2670" w:type="dxa"/>
            <w:gridSpan w:val="2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4008" w:type="dxa"/>
            <w:gridSpan w:val="3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sz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Tahoma" w:hAnsi="Tahoma" w:cs="Tahoma" w:eastAsia="Calibri"/>
          <w:b w:val="1"/>
          <w:bCs w:val="1"/>
          <w:color w:val="000000"/>
        </w:rPr>
      </w:pPr>
      <w:r>
        <w:rPr>
          <w:rFonts w:ascii="Tahoma" w:hAnsi="Tahoma" w:cs="Tahoma" w:eastAsia="Calibri"/>
          <w:b w:val="1"/>
          <w:bCs w:val="1"/>
          <w:color w:val="000000"/>
        </w:rPr>
        <w:t>Σχηματική τομή επιπέδων κτηρίου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lang w:val="en-US"/>
        </w:rPr>
        <w:t>6</w:t>
      </w:r>
      <w:r>
        <w:rPr>
          <w:rFonts w:asciiTheme="minorHAnsi" w:hAnsiTheme="minorHAnsi" w:cstheme="minorHAnsi" w:eastAsia="Tahoma"/>
          <w:b w:val="1"/>
          <w:noProof w:val="1"/>
          <w:color w:val="000000"/>
        </w:rPr>
        <w:t>. Διαφανή δομικά στοιχεία</w:t>
      </w:r>
    </w:p>
    <w:p>
      <w:pPr>
        <w:pStyle w:val="P129"/>
        <w:rPr>
          <w:rFonts w:asciiTheme="minorHAnsi" w:hAnsiTheme="minorHAnsi" w:cstheme="minorHAnsi" w:eastAsia="Tahoma"/>
          <w:b w:val="1"/>
          <w:noProof w:val="1"/>
          <w:color w:val="00000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>Συγκεντρωτικά στοιχεία κουφωμάτων ανά όροφο για τον έλεγχο θερμομονωτικής επάρκειας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  <w:t xml:space="preserve"> </w:t>
      </w:r>
    </w:p>
    <w:tbl>
      <w:tblPr>
        <w:tblStyle w:val="T72"/>
        <w:tblW w:w="0" w:type="auto"/>
        <w:tblLayout w:type="autofit"/>
        <w:tblLook w:val="04A0"/>
      </w:tblPr>
      <w:tblGrid/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Όροφος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Κουφώματα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Πλάτος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br w:type="textWrapping"/>
              <w:t>[m]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Ύψος</w:t>
            </w:r>
          </w:p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  <w:br w:type="textWrapping"/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[</w:t>
            </w: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U×A</w:t>
              <w:br w:type="textWrapping"/>
              <w:t>[W/K]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Ισόγειο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Πόρτα-00.02 ( ΜΘΧ )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2.3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Ισόγειο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Παράθυρο-00.01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2.99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7.774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Ισόγειο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Παράθυρο-00.03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1.69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4.394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1ος Όροφος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Πόρτα-01.01 ( ΜΘΧ )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2.3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1ος Όροφος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Παράθυρο-01.01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2.99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7.774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1ος Όροφος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Παράθυρο-01.02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1.69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4.394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>Συνολικά στοιχεία κουφωμάτων ανά όροφο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73"/>
        <w:tblW w:w="0" w:type="auto"/>
        <w:tblLayout w:type="autofit"/>
        <w:tblLook w:val="04A0"/>
      </w:tblPr>
      <w:tblGrid/>
      <w:tr>
        <w:tc>
          <w:tcPr>
            <w:tcW w:w="1780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780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Εμβαδό</w:t>
              <w:br w:type="textWrapping"/>
              <w:t>[m²]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n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n×Σ(U×A)</w:t>
              <w:br w:type="textWrapping"/>
              <w:t>[W/K]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Ισόγειο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12.168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12.168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1ος Όροφος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12.168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12.168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Οροφή, στέγη, επιφάνεια οροφής μη θερ/νης στέγης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Δάπεδο, οροφή υπογείου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Επιφάνειες που συνορεύονται με χώρους χαμηλότερης θερμοκρασίας.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bCs w:val="1"/>
          <w:noProof w:val="1"/>
          <w:color w:val="00000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</w:rPr>
        <w:t>7. Μη θερμαινόμενοι χώροι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="Tahoma" w:hAnsi="Tahoma" w:cs="Tahoma"/>
          <w:b w:val="1"/>
          <w:bCs w:val="1"/>
          <w:color w:val="000000"/>
        </w:rPr>
      </w:pPr>
      <w:r>
        <w:rPr>
          <w:rFonts w:ascii="Tahoma" w:hAnsi="Tahoma" w:cs="Tahoma"/>
          <w:b w:val="1"/>
          <w:bCs w:val="1"/>
          <w:color w:val="000000"/>
        </w:rPr>
        <w:t>Τοιχώματα σε επαφή με εξωτερικό αέρα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Επίπεδο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  <w:lang w:val="en-US"/>
        </w:rPr>
        <w:t xml:space="preserve">: 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Ισόγειο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74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Διπλή δρομική-ορθοδρομική οπτοπλινθοδομή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75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76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77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78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79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Διπλή δρομική-ορθοδρομική οπτοπλινθοδομή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0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1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νέου μεταλλικού ανοιγόμενου κουφώματος με διπλό υαλοπίνακα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2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νέου μεταλλικού ανοιγόμενου κουφώματος με διπλό υαλοπίνακα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3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4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5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6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Διπλή δρομική-ορθοδρομική οπτοπλινθοδομή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7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8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νέας συνθετικής πόρτας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89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νέας συνθετικής πόρτας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0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1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2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Επίπεδο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  <w:lang w:val="en-US"/>
        </w:rPr>
        <w:t xml:space="preserve">: 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1ος Όροφος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3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Διπλή δρομική-ορθοδρομική οπτοπλινθοδομή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4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5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6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7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8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99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Διπλή δρομική-ορθοδρομική οπτοπλινθοδομή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0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1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2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νέου μεταλλικού ανοιγόμενου κουφώματος με διπλό υαλοπίνακα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3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νέου μεταλλικού ανοιγόμενου κουφώματος με διπλό υαλοπίνακα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4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5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6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7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Διπλή δρομική-ορθοδρομική οπτοπλινθοδομή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8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09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10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νέας συνθετικής πόρτας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11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Παράδειγμα νέας συνθετικής πόρτας U=2,60 (Β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12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13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Υποστύλωμα εξωτερικής γωνίας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tbl>
      <w:tblPr>
        <w:tblStyle w:val="T114"/>
        <w:tblW w:w="0" w:type="auto"/>
        <w:tblLayout w:type="autofit"/>
        <w:tblLook w:val="04A0"/>
      </w:tblPr>
      <w:tblGrid/>
      <w:tr>
        <w:tc>
          <w:tcPr>
            <w:tcW w:w="10684" w:type="dxa"/>
          </w:tcPr>
          <w:p>
            <w:pPr>
              <w:pStyle w:val="P129"/>
              <w:jc w:val="center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2"/>
                <w:highlight w:val="white"/>
              </w:rPr>
              <w:t>Δομ.στοιχ.: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Δοκός σε ενδιάμεσο όροφο  (6cm - Β ζώνη) (Νέο κτήριο)</w:t>
            </w: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  <w:tr>
        <w:tc>
          <w:tcPr>
            <w:tcW w:w="10684" w:type="dxa"/>
          </w:tcPr>
          <w:p>
            <w:pPr>
              <w:pStyle w:val="P129"/>
              <w:rPr>
                <w:rFonts w:asciiTheme="minorHAnsi" w:hAnsiTheme="minorHAnsi" w:cstheme="minorHAnsi" w:eastAsia="Tahoma"/>
                <w:b w:val="0"/>
                <w:noProof w:val="1"/>
                <w:color w:val="800000"/>
                <w:sz w:val="22"/>
                <w:szCs w:val="22"/>
                <w:highlight w:val="white"/>
              </w:rPr>
            </w:pPr>
          </w:p>
        </w:tc>
      </w:tr>
    </w:tbl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Επίπεδο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  <w:lang w:val="en-US"/>
        </w:rPr>
        <w:t xml:space="preserve">: 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Οροφή, στέγη, επιφάνεια οροφής μη θερ/νης στέγης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Επίπεδο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  <w:lang w:val="en-US"/>
        </w:rPr>
        <w:t xml:space="preserve">: 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Δάπεδο, οροφή υπογείου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Επίπεδο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  <w:lang w:val="en-US"/>
        </w:rPr>
        <w:t xml:space="preserve">: </w:t>
      </w:r>
      <w:r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  <w:t>Επιφάνειες που συνορεύονται με χώρους χαμηλότερης θερμοκρασίας.</w:t>
      </w:r>
    </w:p>
    <w:p>
      <w:pPr>
        <w:pStyle w:val="P129"/>
        <w:rPr>
          <w:rFonts w:asciiTheme="minorHAnsi" w:hAnsiTheme="minorHAnsi" w:cstheme="minorHAnsi" w:eastAsia="Tahoma"/>
          <w:b w:val="1"/>
          <w:bCs w:val="1"/>
          <w:noProof w:val="1"/>
          <w:color w:val="auto"/>
          <w:sz w:val="22"/>
          <w:szCs w:val="22"/>
          <w:highlight w:val="white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{include:"</w:t>
      </w:r>
      <w:r>
        <w:rPr>
          <w:rFonts w:ascii="Consolas" w:hAnsi="Consolas" w:cs="Consolas" w:eastAsia="Calibri"/>
          <w:color w:val="000000"/>
          <w:sz w:val="19"/>
          <w:szCs w:val="19"/>
          <w:lang w:val="en-US"/>
        </w:rPr>
        <w:t>Annex711</w:t>
      </w: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1"/>
          <w:noProof w:val="1"/>
          <w:color w:val="00000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lang w:val="en-US"/>
        </w:rPr>
        <w:t>8</w:t>
      </w:r>
      <w:r>
        <w:rPr>
          <w:rFonts w:asciiTheme="minorHAnsi" w:hAnsiTheme="minorHAnsi" w:cstheme="minorHAnsi" w:eastAsia="Tahoma"/>
          <w:b w:val="1"/>
          <w:noProof w:val="1"/>
          <w:color w:val="000000"/>
        </w:rPr>
        <w:t>. Θερμογέφυρες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Eξωτερικών γωνιών (ΞΓ)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Eσωτερικών γωνιών (ΣΓ)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Ένωσης δομικών στοιχείων (ΣΣ)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Δώματος ή οροφής σε προεξοχή (ΔΣ)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Δαπέδου σε προεξοχή ή δαπέδου επάνω από πυλωτή (ΔΠ)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Οροφής σε εσοχή (ΟΕ)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Δαπέδου σε εσοχή (ΔΥ)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Ενδιάμεσου δαπέδου (ΕΔ)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Περίδεσμου ενίσχυσης (ΠΡ)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Δαπέδου που εδράζεται σε έδαφος (ΔΦ)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Λαμπά κουφώματος (ΛΠ)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Ανωκάσι/κατωκάσι κουφώματος (ΥΠ)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</w:pP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</w:rPr>
        <w:t>Τύπος θερμογέφυρας</w:t>
      </w:r>
      <w:r>
        <w:rPr>
          <w:rFonts w:asciiTheme="minorHAnsi" w:hAnsiTheme="minorHAnsi" w:cstheme="minorHAnsi" w:eastAsia="Tahoma"/>
          <w:b w:val="0"/>
          <w:noProof w:val="1"/>
          <w:color w:val="auto"/>
          <w:sz w:val="22"/>
          <w:szCs w:val="22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Θερμογέφυρα χρήστη (ΘΧ)</w:t>
      </w: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7">
    <w:name w:val="Table Grid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8">
    <w:name w:val="Table Grid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9">
    <w:name w:val="Table Grid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0">
    <w:name w:val="Table Grid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1">
    <w:name w:val="Table Grid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2">
    <w:name w:val="Table Grid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3">
    <w:name w:val="Table Grid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4">
    <w:name w:val="Table Grid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5">
    <w:name w:val="Table Grid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6">
    <w:name w:val="Table Grid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7">
    <w:name w:val="Table Grid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8">
    <w:name w:val="Table Grid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9">
    <w:name w:val="Table Grid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0">
    <w:name w:val="Table Grid1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1">
    <w:name w:val="Table Grid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2">
    <w:name w:val="Table Grid1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3">
    <w:name w:val="Table Grid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4">
    <w:name w:val="Table Grid1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5">
    <w:name w:val="Table Grid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6">
    <w:name w:val="Table Grid1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7">
    <w:name w:val="Table Grid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8">
    <w:name w:val="Table Grid1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9">
    <w:name w:val="Table Grid1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0">
    <w:name w:val="Table Grid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1">
    <w:name w:val="Table Grid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2">
    <w:name w:val="Table Grid1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3">
    <w:name w:val="Table Grid1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4">
    <w:name w:val="Table Grid13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5">
    <w:name w:val="Table Grid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6">
    <w:name w:val="Table Grid1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7">
    <w:name w:val="Table Grid1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8">
    <w:name w:val="Table Grid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9">
    <w:name w:val="Table Grid1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0">
    <w:name w:val="Table Grid1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1">
    <w:name w:val="Table Grid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2">
    <w:name w:val="Table Grid1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3">
    <w:name w:val="Table Grid1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4">
    <w:name w:val="Table Grid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5">
    <w:name w:val="Table Grid1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6">
    <w:name w:val="Table Grid1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7">
    <w:name w:val="Table Grid13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8">
    <w:name w:val="Table Grid1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9">
    <w:name w:val="Table Grid1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0">
    <w:name w:val="Table Grid1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1">
    <w:name w:val="Table Grid19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2">
    <w:name w:val="Table Grid1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3">
    <w:name w:val="Table Grid1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4">
    <w:name w:val="Table Grid110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5">
    <w:name w:val="Table Grid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6">
    <w:name w:val="Table Grid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7">
    <w:name w:val="Table Grid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8">
    <w:name w:val="Table Grid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9">
    <w:name w:val="Table Grid1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0">
    <w:name w:val="Table Grid1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1">
    <w:name w:val="Table Grid12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2">
    <w:name w:val="Table Grid12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3">
    <w:name w:val="Table Grid9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4">
    <w:name w:val="Table Grid13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5">
    <w:name w:val="Table Grid2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6">
    <w:name w:val="Table Grid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7">
    <w:name w:val="Table Grid4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8">
    <w:name w:val="Table Grid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9">
    <w:name w:val="Table Grid1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0">
    <w:name w:val="Table Grid2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1">
    <w:name w:val="Table Grid3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2">
    <w:name w:val="Table Grid4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3">
    <w:name w:val="Table Grid5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4">
    <w:name w:val="Table Grid6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5">
    <w:name w:val="Table Grid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6">
    <w:name w:val="Table Grid12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7">
    <w:name w:val="Table Grid2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8">
    <w:name w:val="Table Grid3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9">
    <w:name w:val="Table Grid4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0">
    <w:name w:val="Table Grid5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1">
    <w:name w:val="Table Grid6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2">
    <w:name w:val="Table Grid7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3">
    <w:name w:val="Table Grid13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4">
    <w:name w:val="Table Grid2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5">
    <w:name w:val="Table Grid3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6">
    <w:name w:val="Table Grid4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7">
    <w:name w:val="Table Grid5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8">
    <w:name w:val="Table Grid6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9">
    <w:name w:val="Table Grid1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0">
    <w:name w:val="Table Grid2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1">
    <w:name w:val="Table Grid3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2">
    <w:name w:val="Table Grid4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3">
    <w:name w:val="Table Grid5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4">
    <w:name w:val="Table Grid6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5">
    <w:name w:val="Table Grid7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6">
    <w:name w:val="Table Grid8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7">
    <w:name w:val="Table Grid12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8">
    <w:name w:val="Table Grid2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9">
    <w:name w:val="Table Grid3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0">
    <w:name w:val="Table Grid4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1">
    <w:name w:val="Table Grid5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2">
    <w:name w:val="Table Grid6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3">
    <w:name w:val="Table Grid7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4">
    <w:name w:val="Table Grid8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png" /><Relationship Id="Relimage16" Type="http://schemas.openxmlformats.org/officeDocument/2006/relationships/image" Target="/media/image16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2022-07-14T13:03:23Z</dcterms:modified>
  <cp:revision>388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