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5C3" w:rsidRDefault="006A55C3" w:rsidP="006A55C3">
      <w:pPr>
        <w:pStyle w:val="Heading1"/>
      </w:pPr>
      <w:r>
        <w:rPr>
          <w:rStyle w:val="selected"/>
        </w:rPr>
        <w:t>Bioinformatics Report: Differential Gene Expression Analysis in Long COVID</w:t>
      </w:r>
    </w:p>
    <w:p w:rsidR="006A55C3" w:rsidRDefault="006A55C3" w:rsidP="006A55C3">
      <w:pPr>
        <w:pStyle w:val="Heading2"/>
      </w:pPr>
      <w:r>
        <w:rPr>
          <w:rStyle w:val="selected"/>
        </w:rPr>
        <w:t>1. Introduction</w:t>
      </w:r>
    </w:p>
    <w:p w:rsidR="006A55C3" w:rsidRDefault="006A55C3" w:rsidP="006A55C3">
      <w:pPr>
        <w:pStyle w:val="NormalWeb"/>
      </w:pPr>
      <w:r>
        <w:rPr>
          <w:rStyle w:val="selected"/>
        </w:rPr>
        <w:t xml:space="preserve">This report documents the bioinformatics workflow for analyzing a gene expression dataset (GSE270045) to identify differentially expressed genes (DEGs) in patients with Long COVID compared to a control group. The analysis was performed using the R programming language and several key bioinformatics packages, including </w:t>
      </w:r>
      <w:r>
        <w:rPr>
          <w:rStyle w:val="selected"/>
          <w:rFonts w:ascii="Courier New" w:hAnsi="Courier New" w:cs="Courier New"/>
          <w:sz w:val="20"/>
          <w:szCs w:val="20"/>
        </w:rPr>
        <w:t>DESeq2</w:t>
      </w:r>
      <w:r>
        <w:rPr>
          <w:rStyle w:val="selected"/>
        </w:rPr>
        <w:t xml:space="preserve">, </w:t>
      </w:r>
      <w:proofErr w:type="spellStart"/>
      <w:r>
        <w:rPr>
          <w:rStyle w:val="selected"/>
          <w:rFonts w:ascii="Courier New" w:hAnsi="Courier New" w:cs="Courier New"/>
          <w:sz w:val="20"/>
          <w:szCs w:val="20"/>
        </w:rPr>
        <w:t>EnhancedVolcano</w:t>
      </w:r>
      <w:proofErr w:type="spellEnd"/>
      <w:r>
        <w:rPr>
          <w:rStyle w:val="selected"/>
        </w:rPr>
        <w:t xml:space="preserve">, and </w:t>
      </w:r>
      <w:proofErr w:type="spellStart"/>
      <w:r>
        <w:rPr>
          <w:rStyle w:val="selected"/>
          <w:rFonts w:ascii="Courier New" w:hAnsi="Courier New" w:cs="Courier New"/>
          <w:sz w:val="20"/>
          <w:szCs w:val="20"/>
        </w:rPr>
        <w:t>ComplexHeatmap</w:t>
      </w:r>
      <w:proofErr w:type="spellEnd"/>
      <w:r>
        <w:rPr>
          <w:rStyle w:val="selected"/>
        </w:rPr>
        <w:t>. The objective of this analysis was to identify genes with significant changes in expression, which can provide insight into the biological pathways affected by the disease.</w:t>
      </w:r>
    </w:p>
    <w:p w:rsidR="006A55C3" w:rsidRDefault="006A55C3" w:rsidP="006A55C3">
      <w:pPr>
        <w:pStyle w:val="Heading2"/>
      </w:pPr>
      <w:r>
        <w:rPr>
          <w:rStyle w:val="selected"/>
        </w:rPr>
        <w:t>2. Methodology</w:t>
      </w:r>
    </w:p>
    <w:p w:rsidR="006A55C3" w:rsidRDefault="006A55C3" w:rsidP="006A55C3">
      <w:pPr>
        <w:pStyle w:val="Heading3"/>
      </w:pPr>
      <w:r>
        <w:rPr>
          <w:rStyle w:val="selected"/>
        </w:rPr>
        <w:t>2.1 Data Acquisition and Preprocessing</w:t>
      </w:r>
    </w:p>
    <w:p w:rsidR="006A55C3" w:rsidRDefault="006A55C3" w:rsidP="006A55C3">
      <w:pPr>
        <w:pStyle w:val="NormalWeb"/>
      </w:pPr>
      <w:r>
        <w:rPr>
          <w:rStyle w:val="selected"/>
        </w:rPr>
        <w:t xml:space="preserve">The analysis began by downloading two key data files from the Gene Expression Omnibus (GEO) database: </w:t>
      </w:r>
      <w:r>
        <w:rPr>
          <w:rStyle w:val="selected"/>
          <w:rFonts w:ascii="Courier New" w:hAnsi="Courier New" w:cs="Courier New"/>
          <w:sz w:val="20"/>
          <w:szCs w:val="20"/>
        </w:rPr>
        <w:t>GSE270045_counts.tsv</w:t>
      </w:r>
      <w:r>
        <w:rPr>
          <w:rStyle w:val="selected"/>
        </w:rPr>
        <w:t xml:space="preserve"> (raw gene counts) and </w:t>
      </w:r>
      <w:r>
        <w:rPr>
          <w:rStyle w:val="selected"/>
          <w:rFonts w:ascii="Courier New" w:hAnsi="Courier New" w:cs="Courier New"/>
          <w:sz w:val="20"/>
          <w:szCs w:val="20"/>
        </w:rPr>
        <w:t>GSE270045_metadata.csv</w:t>
      </w:r>
      <w:r>
        <w:rPr>
          <w:rStyle w:val="selected"/>
        </w:rPr>
        <w:t xml:space="preserve"> (sample information).</w:t>
      </w:r>
    </w:p>
    <w:p w:rsidR="006A55C3" w:rsidRDefault="006A55C3" w:rsidP="006A55C3">
      <w:pPr>
        <w:pStyle w:val="NormalWeb"/>
      </w:pPr>
      <w:r>
        <w:rPr>
          <w:rStyle w:val="selected"/>
        </w:rPr>
        <w:t xml:space="preserve">A critical initial step was to ensure that the sample identifiers were consistent across both files. The counts file used </w:t>
      </w:r>
      <w:r>
        <w:rPr>
          <w:rStyle w:val="selected"/>
          <w:rFonts w:ascii="Courier New" w:hAnsi="Courier New" w:cs="Courier New"/>
          <w:sz w:val="20"/>
          <w:szCs w:val="20"/>
        </w:rPr>
        <w:t>CCI</w:t>
      </w:r>
      <w:r>
        <w:rPr>
          <w:rStyle w:val="selected"/>
        </w:rPr>
        <w:t xml:space="preserve"> IDs, while the metadata file used </w:t>
      </w:r>
      <w:r>
        <w:rPr>
          <w:rStyle w:val="selected"/>
          <w:rFonts w:ascii="Courier New" w:hAnsi="Courier New" w:cs="Courier New"/>
          <w:sz w:val="20"/>
          <w:szCs w:val="20"/>
        </w:rPr>
        <w:t>GSM</w:t>
      </w:r>
      <w:r>
        <w:rPr>
          <w:rStyle w:val="selected"/>
        </w:rPr>
        <w:t xml:space="preserve"> IDs. To resolve this, the metadata file was manually corrected to match the </w:t>
      </w:r>
      <w:r>
        <w:rPr>
          <w:rStyle w:val="selected"/>
          <w:rFonts w:ascii="Courier New" w:hAnsi="Courier New" w:cs="Courier New"/>
          <w:sz w:val="20"/>
          <w:szCs w:val="20"/>
        </w:rPr>
        <w:t>CCI</w:t>
      </w:r>
      <w:r>
        <w:rPr>
          <w:rStyle w:val="selected"/>
        </w:rPr>
        <w:t xml:space="preserve"> IDs, which was a vital step for ensuring data integrity and alignment.</w:t>
      </w:r>
    </w:p>
    <w:p w:rsidR="006A55C3" w:rsidRDefault="006A55C3" w:rsidP="006A55C3">
      <w:pPr>
        <w:pStyle w:val="NormalWeb"/>
      </w:pPr>
      <w:r>
        <w:rPr>
          <w:rStyle w:val="selected"/>
        </w:rPr>
        <w:t xml:space="preserve">The R script then loaded the data, filtered out low-expression genes (counts less than 10 in at least 3 samples), and converted the count data into an integer matrix suitable for </w:t>
      </w:r>
      <w:r>
        <w:rPr>
          <w:rStyle w:val="selected"/>
          <w:rFonts w:ascii="Courier New" w:hAnsi="Courier New" w:cs="Courier New"/>
          <w:sz w:val="20"/>
          <w:szCs w:val="20"/>
        </w:rPr>
        <w:t>DESeq2</w:t>
      </w:r>
      <w:r>
        <w:rPr>
          <w:rStyle w:val="selected"/>
        </w:rPr>
        <w:t xml:space="preserve"> analysis. The metadata was also prepared by converting the </w:t>
      </w:r>
      <w:r>
        <w:rPr>
          <w:rStyle w:val="selected"/>
          <w:rFonts w:ascii="Courier New" w:hAnsi="Courier New" w:cs="Courier New"/>
          <w:sz w:val="20"/>
          <w:szCs w:val="20"/>
        </w:rPr>
        <w:t>Conditions</w:t>
      </w:r>
      <w:r>
        <w:rPr>
          <w:rStyle w:val="selected"/>
        </w:rPr>
        <w:t xml:space="preserve"> variable into a factor and setting "normal" as the reference level for comparison.</w:t>
      </w:r>
    </w:p>
    <w:p w:rsidR="006A55C3" w:rsidRDefault="006A55C3" w:rsidP="006A55C3">
      <w:pPr>
        <w:pStyle w:val="Heading3"/>
      </w:pPr>
      <w:r>
        <w:rPr>
          <w:rStyle w:val="selected"/>
        </w:rPr>
        <w:t>2.2 Differential Gene Expression Analysis with DESeq2</w:t>
      </w:r>
    </w:p>
    <w:p w:rsidR="006A55C3" w:rsidRDefault="006A55C3" w:rsidP="006A55C3">
      <w:pPr>
        <w:pStyle w:val="NormalWeb"/>
      </w:pPr>
      <w:r>
        <w:rPr>
          <w:rStyle w:val="selected"/>
        </w:rPr>
        <w:t xml:space="preserve">The core of the analysis was performed using the </w:t>
      </w:r>
      <w:r>
        <w:rPr>
          <w:rStyle w:val="selected"/>
          <w:rFonts w:ascii="Courier New" w:hAnsi="Courier New" w:cs="Courier New"/>
          <w:sz w:val="20"/>
          <w:szCs w:val="20"/>
        </w:rPr>
        <w:t>DESeq2</w:t>
      </w:r>
      <w:r>
        <w:rPr>
          <w:rStyle w:val="selected"/>
        </w:rPr>
        <w:t xml:space="preserve"> package. A </w:t>
      </w:r>
      <w:proofErr w:type="spellStart"/>
      <w:r>
        <w:rPr>
          <w:rStyle w:val="selected"/>
          <w:rFonts w:ascii="Courier New" w:hAnsi="Courier New" w:cs="Courier New"/>
          <w:sz w:val="20"/>
          <w:szCs w:val="20"/>
        </w:rPr>
        <w:t>DESeqDataSet</w:t>
      </w:r>
      <w:proofErr w:type="spellEnd"/>
      <w:r>
        <w:rPr>
          <w:rStyle w:val="selected"/>
        </w:rPr>
        <w:t xml:space="preserve"> object was created to store the count data and metadata. The </w:t>
      </w:r>
      <w:proofErr w:type="spellStart"/>
      <w:proofErr w:type="gramStart"/>
      <w:r>
        <w:rPr>
          <w:rStyle w:val="selected"/>
          <w:rFonts w:ascii="Courier New" w:hAnsi="Courier New" w:cs="Courier New"/>
          <w:sz w:val="20"/>
          <w:szCs w:val="20"/>
        </w:rPr>
        <w:t>DESeq</w:t>
      </w:r>
      <w:proofErr w:type="spellEnd"/>
      <w:r>
        <w:rPr>
          <w:rStyle w:val="selected"/>
          <w:rFonts w:ascii="Courier New" w:hAnsi="Courier New" w:cs="Courier New"/>
          <w:sz w:val="20"/>
          <w:szCs w:val="20"/>
        </w:rPr>
        <w:t>(</w:t>
      </w:r>
      <w:proofErr w:type="gramEnd"/>
      <w:r>
        <w:rPr>
          <w:rStyle w:val="selected"/>
          <w:rFonts w:ascii="Courier New" w:hAnsi="Courier New" w:cs="Courier New"/>
          <w:sz w:val="20"/>
          <w:szCs w:val="20"/>
        </w:rPr>
        <w:t>)</w:t>
      </w:r>
      <w:r>
        <w:rPr>
          <w:rStyle w:val="selected"/>
        </w:rPr>
        <w:t xml:space="preserve"> function was then applied to perform the statistical analysis, which normalizes the data and fits a negative binomial model to test for differential gene expression.</w:t>
      </w:r>
    </w:p>
    <w:p w:rsidR="006A55C3" w:rsidRDefault="006A55C3" w:rsidP="006A55C3">
      <w:pPr>
        <w:pStyle w:val="NormalWeb"/>
      </w:pPr>
      <w:r>
        <w:rPr>
          <w:rStyle w:val="selected"/>
        </w:rPr>
        <w:t xml:space="preserve">After the analysis was complete, the </w:t>
      </w:r>
      <w:proofErr w:type="gramStart"/>
      <w:r>
        <w:rPr>
          <w:rStyle w:val="selected"/>
          <w:rFonts w:ascii="Courier New" w:hAnsi="Courier New" w:cs="Courier New"/>
          <w:sz w:val="20"/>
          <w:szCs w:val="20"/>
        </w:rPr>
        <w:t>results(</w:t>
      </w:r>
      <w:proofErr w:type="gramEnd"/>
      <w:r>
        <w:rPr>
          <w:rStyle w:val="selected"/>
          <w:rFonts w:ascii="Courier New" w:hAnsi="Courier New" w:cs="Courier New"/>
          <w:sz w:val="20"/>
          <w:szCs w:val="20"/>
        </w:rPr>
        <w:t>)</w:t>
      </w:r>
      <w:r>
        <w:rPr>
          <w:rStyle w:val="selected"/>
        </w:rPr>
        <w:t xml:space="preserve"> function was used to extract a table of results, including:</w:t>
      </w:r>
    </w:p>
    <w:p w:rsidR="006A55C3" w:rsidRDefault="006A55C3" w:rsidP="006A55C3">
      <w:pPr>
        <w:pStyle w:val="NormalWeb"/>
        <w:numPr>
          <w:ilvl w:val="0"/>
          <w:numId w:val="3"/>
        </w:numPr>
      </w:pPr>
      <w:proofErr w:type="spellStart"/>
      <w:proofErr w:type="gramStart"/>
      <w:r>
        <w:rPr>
          <w:rStyle w:val="selected"/>
          <w:rFonts w:ascii="Courier New" w:hAnsi="Courier New" w:cs="Courier New"/>
          <w:sz w:val="20"/>
          <w:szCs w:val="20"/>
        </w:rPr>
        <w:t>baseMean</w:t>
      </w:r>
      <w:proofErr w:type="spellEnd"/>
      <w:proofErr w:type="gramEnd"/>
      <w:r>
        <w:rPr>
          <w:rStyle w:val="selected"/>
        </w:rPr>
        <w:t>: The average expression level of the gene.</w:t>
      </w:r>
    </w:p>
    <w:p w:rsidR="006A55C3" w:rsidRDefault="006A55C3" w:rsidP="006A55C3">
      <w:pPr>
        <w:pStyle w:val="NormalWeb"/>
        <w:numPr>
          <w:ilvl w:val="0"/>
          <w:numId w:val="3"/>
        </w:numPr>
      </w:pPr>
      <w:r>
        <w:rPr>
          <w:rStyle w:val="selected"/>
          <w:rFonts w:ascii="Courier New" w:hAnsi="Courier New" w:cs="Courier New"/>
          <w:sz w:val="20"/>
          <w:szCs w:val="20"/>
        </w:rPr>
        <w:t>log2FoldChange</w:t>
      </w:r>
      <w:r>
        <w:rPr>
          <w:rStyle w:val="selected"/>
        </w:rPr>
        <w:t>: The magnitude of gene expression change between the two groups.</w:t>
      </w:r>
    </w:p>
    <w:p w:rsidR="006A55C3" w:rsidRDefault="006A55C3" w:rsidP="006A55C3">
      <w:pPr>
        <w:pStyle w:val="NormalWeb"/>
        <w:numPr>
          <w:ilvl w:val="0"/>
          <w:numId w:val="3"/>
        </w:numPr>
      </w:pPr>
      <w:proofErr w:type="spellStart"/>
      <w:proofErr w:type="gramStart"/>
      <w:r>
        <w:rPr>
          <w:rStyle w:val="selected"/>
          <w:rFonts w:ascii="Courier New" w:hAnsi="Courier New" w:cs="Courier New"/>
          <w:sz w:val="20"/>
          <w:szCs w:val="20"/>
        </w:rPr>
        <w:lastRenderedPageBreak/>
        <w:t>padj</w:t>
      </w:r>
      <w:proofErr w:type="spellEnd"/>
      <w:proofErr w:type="gramEnd"/>
      <w:r>
        <w:rPr>
          <w:rStyle w:val="selected"/>
        </w:rPr>
        <w:t>: The adjusted p-value, which accounts for multiple testing and is used to determine statistical significance.</w:t>
      </w:r>
    </w:p>
    <w:p w:rsidR="006A55C3" w:rsidRDefault="006A55C3" w:rsidP="006A55C3">
      <w:pPr>
        <w:pStyle w:val="Heading3"/>
      </w:pPr>
      <w:r>
        <w:rPr>
          <w:rStyle w:val="selected"/>
        </w:rPr>
        <w:t>2.3 Identification of Significant DEGs</w:t>
      </w:r>
    </w:p>
    <w:p w:rsidR="006A55C3" w:rsidRDefault="006A55C3" w:rsidP="006A55C3">
      <w:pPr>
        <w:pStyle w:val="NormalWeb"/>
      </w:pPr>
      <w:r>
        <w:rPr>
          <w:rStyle w:val="selected"/>
        </w:rPr>
        <w:t>Significant DEGs were identified by applying a dual filtering criterion:</w:t>
      </w:r>
    </w:p>
    <w:p w:rsidR="006A55C3" w:rsidRDefault="006A55C3" w:rsidP="006A55C3">
      <w:pPr>
        <w:pStyle w:val="NormalWeb"/>
        <w:numPr>
          <w:ilvl w:val="0"/>
          <w:numId w:val="4"/>
        </w:numPr>
      </w:pPr>
      <w:r>
        <w:rPr>
          <w:rStyle w:val="selected"/>
          <w:b/>
          <w:bCs/>
        </w:rPr>
        <w:t>Adjusted p-value (</w:t>
      </w:r>
      <w:proofErr w:type="spellStart"/>
      <w:r>
        <w:rPr>
          <w:rStyle w:val="selected"/>
          <w:rFonts w:ascii="Courier New" w:hAnsi="Courier New" w:cs="Courier New"/>
          <w:b/>
          <w:bCs/>
          <w:sz w:val="20"/>
          <w:szCs w:val="20"/>
        </w:rPr>
        <w:t>padj</w:t>
      </w:r>
      <w:proofErr w:type="spellEnd"/>
      <w:r>
        <w:rPr>
          <w:rStyle w:val="selected"/>
          <w:b/>
          <w:bCs/>
        </w:rPr>
        <w:t>) &lt; 0.05</w:t>
      </w:r>
      <w:r>
        <w:rPr>
          <w:rStyle w:val="selected"/>
        </w:rPr>
        <w:t>: This ensures that the findings are statistically significant.</w:t>
      </w:r>
    </w:p>
    <w:p w:rsidR="006A55C3" w:rsidRDefault="006A55C3" w:rsidP="006A55C3">
      <w:pPr>
        <w:pStyle w:val="NormalWeb"/>
        <w:numPr>
          <w:ilvl w:val="0"/>
          <w:numId w:val="4"/>
        </w:numPr>
      </w:pPr>
      <w:r>
        <w:rPr>
          <w:rStyle w:val="selected"/>
          <w:b/>
          <w:bCs/>
        </w:rPr>
        <w:t>Absolute log2FoldChange &gt; 1</w:t>
      </w:r>
      <w:r>
        <w:rPr>
          <w:rStyle w:val="selected"/>
        </w:rPr>
        <w:t>: This ensures that the genes have a biologically meaningful expression change (at least a two-fold change).</w:t>
      </w:r>
    </w:p>
    <w:p w:rsidR="006A55C3" w:rsidRDefault="006A55C3" w:rsidP="006A55C3">
      <w:pPr>
        <w:pStyle w:val="NormalWeb"/>
      </w:pPr>
      <w:r>
        <w:rPr>
          <w:rStyle w:val="selected"/>
        </w:rPr>
        <w:t>The list of significant DEGs was sorted by adjusted p-value and then exported to a CSV file (</w:t>
      </w:r>
      <w:r>
        <w:rPr>
          <w:rStyle w:val="selected"/>
          <w:rFonts w:ascii="Courier New" w:hAnsi="Courier New" w:cs="Courier New"/>
          <w:sz w:val="20"/>
          <w:szCs w:val="20"/>
        </w:rPr>
        <w:t>significant_degs.csv</w:t>
      </w:r>
      <w:r>
        <w:rPr>
          <w:rStyle w:val="selected"/>
        </w:rPr>
        <w:t>) for further review and downstream analysis.</w:t>
      </w:r>
    </w:p>
    <w:p w:rsidR="006A55C3" w:rsidRDefault="006A55C3" w:rsidP="006A55C3">
      <w:pPr>
        <w:pStyle w:val="Heading3"/>
      </w:pPr>
      <w:r>
        <w:rPr>
          <w:rStyle w:val="selected"/>
        </w:rPr>
        <w:t>2.4 Visualization</w:t>
      </w:r>
    </w:p>
    <w:p w:rsidR="006A55C3" w:rsidRDefault="006A55C3" w:rsidP="006A55C3">
      <w:pPr>
        <w:pStyle w:val="NormalWeb"/>
      </w:pPr>
      <w:r>
        <w:rPr>
          <w:rStyle w:val="selected"/>
        </w:rPr>
        <w:t xml:space="preserve">To visualize the results of the analysis, two plots were generated: a volcano plot and a </w:t>
      </w:r>
      <w:proofErr w:type="spellStart"/>
      <w:r>
        <w:rPr>
          <w:rStyle w:val="selected"/>
        </w:rPr>
        <w:t>heatmap</w:t>
      </w:r>
      <w:proofErr w:type="spellEnd"/>
      <w:r>
        <w:rPr>
          <w:rStyle w:val="selected"/>
        </w:rPr>
        <w:t>.</w:t>
      </w:r>
    </w:p>
    <w:p w:rsidR="006A55C3" w:rsidRDefault="006A55C3" w:rsidP="006A55C3">
      <w:pPr>
        <w:pStyle w:val="Heading4"/>
      </w:pPr>
      <w:r>
        <w:rPr>
          <w:rStyle w:val="selected"/>
        </w:rPr>
        <w:t>2.4.1 Volcano Plot</w:t>
      </w:r>
    </w:p>
    <w:p w:rsidR="006A55C3" w:rsidRDefault="006A55C3" w:rsidP="006A55C3">
      <w:pPr>
        <w:pStyle w:val="NormalWeb"/>
      </w:pPr>
      <w:r>
        <w:rPr>
          <w:rStyle w:val="selected"/>
        </w:rPr>
        <w:t xml:space="preserve">A volcano plot was created using the </w:t>
      </w:r>
      <w:proofErr w:type="spellStart"/>
      <w:r>
        <w:rPr>
          <w:rStyle w:val="selected"/>
          <w:rFonts w:ascii="Courier New" w:hAnsi="Courier New" w:cs="Courier New"/>
          <w:sz w:val="20"/>
          <w:szCs w:val="20"/>
        </w:rPr>
        <w:t>EnhancedVolcano</w:t>
      </w:r>
      <w:proofErr w:type="spellEnd"/>
      <w:r>
        <w:rPr>
          <w:rStyle w:val="selected"/>
        </w:rPr>
        <w:t xml:space="preserve"> package. The plot visualizes the log2 fold change versus the adjusted p-value for each gene. Genes that met the significance criteria were highlighted in a distinct color, providing a clear and comprehensive overview of the overall gene expression changes.</w:t>
      </w:r>
    </w:p>
    <w:p w:rsidR="006A55C3" w:rsidRDefault="006A55C3" w:rsidP="006A55C3">
      <w:pPr>
        <w:pStyle w:val="Heading4"/>
      </w:pPr>
      <w:r>
        <w:rPr>
          <w:rStyle w:val="selected"/>
        </w:rPr>
        <w:t xml:space="preserve">2.4.2 </w:t>
      </w:r>
      <w:proofErr w:type="spellStart"/>
      <w:r>
        <w:rPr>
          <w:rStyle w:val="selected"/>
        </w:rPr>
        <w:t>Heatmap</w:t>
      </w:r>
      <w:proofErr w:type="spellEnd"/>
    </w:p>
    <w:p w:rsidR="006A55C3" w:rsidRDefault="006A55C3" w:rsidP="006A55C3">
      <w:pPr>
        <w:pStyle w:val="NormalWeb"/>
      </w:pPr>
      <w:r>
        <w:rPr>
          <w:rStyle w:val="selected"/>
        </w:rPr>
        <w:t xml:space="preserve">A </w:t>
      </w:r>
      <w:proofErr w:type="spellStart"/>
      <w:r>
        <w:rPr>
          <w:rStyle w:val="selected"/>
        </w:rPr>
        <w:t>heatmap</w:t>
      </w:r>
      <w:proofErr w:type="spellEnd"/>
      <w:r>
        <w:rPr>
          <w:rStyle w:val="selected"/>
        </w:rPr>
        <w:t xml:space="preserve"> was generated to visually represent the expression patterns of the top 10 most up-regulated and top 10 most down-regulated genes. This was performed using the </w:t>
      </w:r>
      <w:proofErr w:type="spellStart"/>
      <w:r>
        <w:rPr>
          <w:rStyle w:val="selected"/>
          <w:rFonts w:ascii="Courier New" w:hAnsi="Courier New" w:cs="Courier New"/>
          <w:sz w:val="20"/>
          <w:szCs w:val="20"/>
        </w:rPr>
        <w:t>ComplexHeatmap</w:t>
      </w:r>
      <w:proofErr w:type="spellEnd"/>
      <w:r>
        <w:rPr>
          <w:rStyle w:val="selected"/>
        </w:rPr>
        <w:t xml:space="preserve"> package, which is robust for this type of visualization. The </w:t>
      </w:r>
      <w:proofErr w:type="spellStart"/>
      <w:r>
        <w:rPr>
          <w:rStyle w:val="selected"/>
        </w:rPr>
        <w:t>heatmap</w:t>
      </w:r>
      <w:proofErr w:type="spellEnd"/>
      <w:r>
        <w:rPr>
          <w:rStyle w:val="selected"/>
        </w:rPr>
        <w:t xml:space="preserve"> was scaled by row (Z-score), allowing for a direct comparison of relative expression levels for each gene across all samples. This visualization helps to confirm the distinct expression patterns between the "</w:t>
      </w:r>
      <w:proofErr w:type="spellStart"/>
      <w:r>
        <w:rPr>
          <w:rStyle w:val="selected"/>
        </w:rPr>
        <w:t>covid</w:t>
      </w:r>
      <w:proofErr w:type="spellEnd"/>
      <w:r>
        <w:rPr>
          <w:rStyle w:val="selected"/>
        </w:rPr>
        <w:t>" and "normal" groups.</w:t>
      </w:r>
    </w:p>
    <w:p w:rsidR="006A55C3" w:rsidRDefault="006A55C3" w:rsidP="006A55C3">
      <w:pPr>
        <w:pStyle w:val="Heading3"/>
      </w:pPr>
      <w:r>
        <w:rPr>
          <w:rStyle w:val="selected"/>
        </w:rPr>
        <w:t>2.5 Combining Top Genes</w:t>
      </w:r>
    </w:p>
    <w:p w:rsidR="006A55C3" w:rsidRDefault="006A55C3" w:rsidP="006A55C3">
      <w:pPr>
        <w:pStyle w:val="NormalWeb"/>
      </w:pPr>
      <w:r>
        <w:rPr>
          <w:rStyle w:val="selected"/>
        </w:rPr>
        <w:t>For additional analysis and to provide a focused list of the most impactful genes, separate CSV files were created for the top 15 up-regulated genes (</w:t>
      </w:r>
      <w:r>
        <w:rPr>
          <w:rStyle w:val="selected"/>
          <w:rFonts w:ascii="Courier New" w:hAnsi="Courier New" w:cs="Courier New"/>
          <w:sz w:val="20"/>
          <w:szCs w:val="20"/>
        </w:rPr>
        <w:t>top15_up_regulated_genes.csv</w:t>
      </w:r>
      <w:r>
        <w:rPr>
          <w:rStyle w:val="selected"/>
        </w:rPr>
        <w:t>) and top 15 down-regulated genes (</w:t>
      </w:r>
      <w:r>
        <w:rPr>
          <w:rStyle w:val="selected"/>
          <w:rFonts w:ascii="Courier New" w:hAnsi="Courier New" w:cs="Courier New"/>
          <w:sz w:val="20"/>
          <w:szCs w:val="20"/>
        </w:rPr>
        <w:t>top15_down_regulated_genes.csv</w:t>
      </w:r>
      <w:r>
        <w:rPr>
          <w:rStyle w:val="selected"/>
        </w:rPr>
        <w:t xml:space="preserve">). These two lists were then combined into a single, comprehensive data frame and exported to a new file named </w:t>
      </w:r>
      <w:r>
        <w:rPr>
          <w:rStyle w:val="selected"/>
          <w:rFonts w:ascii="Courier New" w:hAnsi="Courier New" w:cs="Courier New"/>
          <w:sz w:val="20"/>
          <w:szCs w:val="20"/>
        </w:rPr>
        <w:t>top30_combined_genes.csv</w:t>
      </w:r>
      <w:r>
        <w:rPr>
          <w:rStyle w:val="selected"/>
        </w:rPr>
        <w:t xml:space="preserve">. This combined file is ideal for subsequent pathway analysis and can serve as a primary input for tools like </w:t>
      </w:r>
      <w:proofErr w:type="spellStart"/>
      <w:r>
        <w:rPr>
          <w:rStyle w:val="selected"/>
        </w:rPr>
        <w:t>Cytoscape</w:t>
      </w:r>
      <w:proofErr w:type="spellEnd"/>
      <w:r>
        <w:rPr>
          <w:rStyle w:val="selected"/>
        </w:rPr>
        <w:t>.</w:t>
      </w:r>
    </w:p>
    <w:p w:rsidR="006A55C3" w:rsidRDefault="006A55C3" w:rsidP="006A55C3">
      <w:pPr>
        <w:pStyle w:val="Heading3"/>
      </w:pPr>
      <w:r>
        <w:rPr>
          <w:rStyle w:val="selected"/>
        </w:rPr>
        <w:t>2.6 Protein-Protein Interaction Network Analysis</w:t>
      </w:r>
    </w:p>
    <w:p w:rsidR="006A55C3" w:rsidRDefault="006A55C3" w:rsidP="006A55C3">
      <w:pPr>
        <w:pStyle w:val="NormalWeb"/>
      </w:pPr>
      <w:r>
        <w:rPr>
          <w:rStyle w:val="selected"/>
        </w:rPr>
        <w:lastRenderedPageBreak/>
        <w:t xml:space="preserve">Protein-protein interaction (PPI) network analysis can be used to understand how the identified DEGs interact with each other within a biological system. This type of analysis is typically performed using network visualization tools such as </w:t>
      </w:r>
      <w:proofErr w:type="spellStart"/>
      <w:r>
        <w:rPr>
          <w:rStyle w:val="selected"/>
        </w:rPr>
        <w:t>Cytoscape</w:t>
      </w:r>
      <w:proofErr w:type="spellEnd"/>
      <w:r>
        <w:rPr>
          <w:rStyle w:val="selected"/>
        </w:rPr>
        <w:t>.</w:t>
      </w:r>
    </w:p>
    <w:p w:rsidR="006A55C3" w:rsidRDefault="006A55C3" w:rsidP="006A55C3">
      <w:pPr>
        <w:pStyle w:val="NormalWeb"/>
      </w:pPr>
      <w:r>
        <w:rPr>
          <w:rStyle w:val="selected"/>
        </w:rPr>
        <w:t xml:space="preserve">The </w:t>
      </w:r>
      <w:r>
        <w:rPr>
          <w:rStyle w:val="selected"/>
          <w:rFonts w:ascii="Courier New" w:hAnsi="Courier New" w:cs="Courier New"/>
          <w:sz w:val="20"/>
          <w:szCs w:val="20"/>
        </w:rPr>
        <w:t>top30_combined_genes.csv</w:t>
      </w:r>
      <w:r>
        <w:rPr>
          <w:rStyle w:val="selected"/>
        </w:rPr>
        <w:t xml:space="preserve"> file, which contains a focused list of the top 30 most impacted genes, can be imported directly into </w:t>
      </w:r>
      <w:proofErr w:type="spellStart"/>
      <w:r>
        <w:rPr>
          <w:rStyle w:val="selected"/>
        </w:rPr>
        <w:t>Cytoscape</w:t>
      </w:r>
      <w:proofErr w:type="spellEnd"/>
      <w:r>
        <w:rPr>
          <w:rStyle w:val="selected"/>
        </w:rPr>
        <w:t xml:space="preserve">. Using plugins like STRING or </w:t>
      </w:r>
      <w:proofErr w:type="spellStart"/>
      <w:r>
        <w:rPr>
          <w:rStyle w:val="selected"/>
        </w:rPr>
        <w:t>GeneMania</w:t>
      </w:r>
      <w:proofErr w:type="spellEnd"/>
      <w:r>
        <w:rPr>
          <w:rStyle w:val="selected"/>
        </w:rPr>
        <w:t xml:space="preserve">, an interaction network can be constructed by mapping the genes to a reference database of known protein interactions. The </w:t>
      </w:r>
      <w:r>
        <w:rPr>
          <w:rStyle w:val="selected"/>
          <w:rFonts w:ascii="Courier New" w:hAnsi="Courier New" w:cs="Courier New"/>
          <w:sz w:val="20"/>
          <w:szCs w:val="20"/>
        </w:rPr>
        <w:t>log2FoldChange</w:t>
      </w:r>
      <w:r>
        <w:rPr>
          <w:rStyle w:val="selected"/>
        </w:rPr>
        <w:t xml:space="preserve"> and </w:t>
      </w:r>
      <w:proofErr w:type="spellStart"/>
      <w:r>
        <w:rPr>
          <w:rStyle w:val="selected"/>
          <w:rFonts w:ascii="Courier New" w:hAnsi="Courier New" w:cs="Courier New"/>
          <w:sz w:val="20"/>
          <w:szCs w:val="20"/>
        </w:rPr>
        <w:t>padj</w:t>
      </w:r>
      <w:proofErr w:type="spellEnd"/>
      <w:r>
        <w:rPr>
          <w:rStyle w:val="selected"/>
        </w:rPr>
        <w:t xml:space="preserve"> values from the </w:t>
      </w:r>
      <w:r>
        <w:rPr>
          <w:rStyle w:val="selected"/>
          <w:rFonts w:ascii="Courier New" w:hAnsi="Courier New" w:cs="Courier New"/>
          <w:sz w:val="20"/>
          <w:szCs w:val="20"/>
        </w:rPr>
        <w:t>top30_combined_genes.csv</w:t>
      </w:r>
      <w:r>
        <w:rPr>
          <w:rStyle w:val="selected"/>
        </w:rPr>
        <w:t xml:space="preserve"> file can be used to visually customize the network, for example, by coloring nodes based on fold change or by sizing them based on significance. This allows for the identification of key hub genes and interaction modules.</w:t>
      </w:r>
    </w:p>
    <w:p w:rsidR="006A55C3" w:rsidRDefault="006A55C3" w:rsidP="006A55C3">
      <w:pPr>
        <w:pStyle w:val="Heading3"/>
      </w:pPr>
      <w:r>
        <w:rPr>
          <w:rStyle w:val="selected"/>
        </w:rPr>
        <w:t>2.7 Functional Enrichment Analysis</w:t>
      </w:r>
    </w:p>
    <w:p w:rsidR="006A55C3" w:rsidRDefault="006A55C3" w:rsidP="006A55C3">
      <w:pPr>
        <w:pStyle w:val="NormalWeb"/>
      </w:pPr>
      <w:r>
        <w:rPr>
          <w:rStyle w:val="selected"/>
        </w:rPr>
        <w:t xml:space="preserve">Functional enrichment analysis is a crucial next step to understand the biological context of the identified DEGs. This analysis determines if the DEGs are overrepresented in specific biological pathways, molecular functions, or cellular components. The </w:t>
      </w:r>
      <w:r>
        <w:rPr>
          <w:rStyle w:val="selected"/>
          <w:rFonts w:ascii="Courier New" w:hAnsi="Courier New" w:cs="Courier New"/>
          <w:sz w:val="20"/>
          <w:szCs w:val="20"/>
        </w:rPr>
        <w:t>top30_combined_genes.csv</w:t>
      </w:r>
      <w:r>
        <w:rPr>
          <w:rStyle w:val="selected"/>
        </w:rPr>
        <w:t xml:space="preserve"> file was used as the input for the </w:t>
      </w:r>
      <w:proofErr w:type="spellStart"/>
      <w:r>
        <w:rPr>
          <w:rStyle w:val="selected"/>
          <w:b/>
          <w:bCs/>
        </w:rPr>
        <w:t>Enrichr</w:t>
      </w:r>
      <w:proofErr w:type="spellEnd"/>
      <w:r>
        <w:rPr>
          <w:rStyle w:val="selected"/>
          <w:b/>
          <w:bCs/>
        </w:rPr>
        <w:t xml:space="preserve"> web-based tool</w:t>
      </w:r>
      <w:r>
        <w:rPr>
          <w:rStyle w:val="selected"/>
        </w:rPr>
        <w:t>.</w:t>
      </w:r>
    </w:p>
    <w:p w:rsidR="006A55C3" w:rsidRDefault="006A55C3" w:rsidP="006A55C3">
      <w:pPr>
        <w:pStyle w:val="NormalWeb"/>
      </w:pPr>
      <w:r>
        <w:rPr>
          <w:rStyle w:val="selected"/>
        </w:rPr>
        <w:t xml:space="preserve">By providing the list of genes to </w:t>
      </w:r>
      <w:proofErr w:type="spellStart"/>
      <w:r>
        <w:rPr>
          <w:rStyle w:val="selected"/>
        </w:rPr>
        <w:t>Enrichr</w:t>
      </w:r>
      <w:proofErr w:type="spellEnd"/>
      <w:r>
        <w:rPr>
          <w:rStyle w:val="selected"/>
        </w:rPr>
        <w:t>, the tool queries a wide range of databases, including Gene Ontology (GO), KEGG, and others, to identify enriched pathways and terms. The results are displayed as interactive charts and tables, providing a high-level view of the biological processes most affected by Long COVID. This analysis helps to pinpoint the key molecular mechanisms and pathways that may be driving the observed gene expression changes.</w:t>
      </w:r>
    </w:p>
    <w:p w:rsidR="006A55C3" w:rsidRDefault="006A55C3" w:rsidP="006A55C3">
      <w:pPr>
        <w:pStyle w:val="Heading2"/>
      </w:pPr>
      <w:r>
        <w:rPr>
          <w:rStyle w:val="selected"/>
        </w:rPr>
        <w:t>3. Conclusion</w:t>
      </w:r>
    </w:p>
    <w:p w:rsidR="006A55C3" w:rsidRDefault="006A55C3" w:rsidP="006A55C3">
      <w:pPr>
        <w:pStyle w:val="NormalWeb"/>
      </w:pPr>
      <w:r>
        <w:rPr>
          <w:rStyle w:val="selected"/>
        </w:rPr>
        <w:t xml:space="preserve">This report details a complete bioinformatics workflow for differential gene expression analysis using publicly available data. By carefully preprocessing the data, applying a rigorous statistical analysis with </w:t>
      </w:r>
      <w:r>
        <w:rPr>
          <w:rStyle w:val="selected"/>
          <w:rFonts w:ascii="Courier New" w:hAnsi="Courier New" w:cs="Courier New"/>
          <w:sz w:val="20"/>
          <w:szCs w:val="20"/>
        </w:rPr>
        <w:t>DESeq2</w:t>
      </w:r>
      <w:r>
        <w:rPr>
          <w:rStyle w:val="selected"/>
        </w:rPr>
        <w:t xml:space="preserve">, and generating clear visualizations and gene lists, we successfully identified and documented genes with significant expression changes. The final outputs—including the volcano plot, </w:t>
      </w:r>
      <w:proofErr w:type="spellStart"/>
      <w:r>
        <w:rPr>
          <w:rStyle w:val="selected"/>
        </w:rPr>
        <w:t>heatmap</w:t>
      </w:r>
      <w:proofErr w:type="spellEnd"/>
      <w:r>
        <w:rPr>
          <w:rStyle w:val="selected"/>
        </w:rPr>
        <w:t>, comprehensive gene lists, and a foundation for subsequent network and enrichment analysis—provide a solid basis for further biological interpretation and research into the molecular mechanisms of Long COVID.</w:t>
      </w:r>
    </w:p>
    <w:p w:rsidR="00204C53" w:rsidRPr="006A55C3" w:rsidRDefault="00204C53" w:rsidP="006A55C3">
      <w:bookmarkStart w:id="0" w:name="_GoBack"/>
      <w:bookmarkEnd w:id="0"/>
    </w:p>
    <w:sectPr w:rsidR="00204C53" w:rsidRPr="006A5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F3271"/>
    <w:multiLevelType w:val="multilevel"/>
    <w:tmpl w:val="9D82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5B4956"/>
    <w:multiLevelType w:val="multilevel"/>
    <w:tmpl w:val="7D629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89765A"/>
    <w:multiLevelType w:val="multilevel"/>
    <w:tmpl w:val="3428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E05184"/>
    <w:multiLevelType w:val="multilevel"/>
    <w:tmpl w:val="D188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044"/>
    <w:rsid w:val="001B01EC"/>
    <w:rsid w:val="00204C53"/>
    <w:rsid w:val="00364044"/>
    <w:rsid w:val="006A55C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A55C3"/>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BD"/>
    </w:rPr>
  </w:style>
  <w:style w:type="paragraph" w:styleId="Heading2">
    <w:name w:val="heading 2"/>
    <w:basedOn w:val="Normal"/>
    <w:link w:val="Heading2Char"/>
    <w:uiPriority w:val="9"/>
    <w:qFormat/>
    <w:rsid w:val="006A55C3"/>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paragraph" w:styleId="Heading3">
    <w:name w:val="heading 3"/>
    <w:basedOn w:val="Normal"/>
    <w:link w:val="Heading3Char"/>
    <w:uiPriority w:val="9"/>
    <w:qFormat/>
    <w:rsid w:val="006A55C3"/>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paragraph" w:styleId="Heading4">
    <w:name w:val="heading 4"/>
    <w:basedOn w:val="Normal"/>
    <w:link w:val="Heading4Char"/>
    <w:uiPriority w:val="9"/>
    <w:qFormat/>
    <w:rsid w:val="006A55C3"/>
    <w:pPr>
      <w:spacing w:before="100" w:beforeAutospacing="1" w:after="100" w:afterAutospacing="1" w:line="240" w:lineRule="auto"/>
      <w:outlineLvl w:val="3"/>
    </w:pPr>
    <w:rPr>
      <w:rFonts w:ascii="Times New Roman" w:eastAsia="Times New Roman" w:hAnsi="Times New Roman" w:cs="Times New Roman"/>
      <w:b/>
      <w:bCs/>
      <w:sz w:val="24"/>
      <w:szCs w:val="24"/>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5C3"/>
    <w:rPr>
      <w:rFonts w:ascii="Times New Roman" w:eastAsia="Times New Roman" w:hAnsi="Times New Roman" w:cs="Times New Roman"/>
      <w:b/>
      <w:bCs/>
      <w:kern w:val="36"/>
      <w:sz w:val="48"/>
      <w:szCs w:val="48"/>
      <w:lang w:bidi="bn-BD"/>
    </w:rPr>
  </w:style>
  <w:style w:type="character" w:customStyle="1" w:styleId="Heading2Char">
    <w:name w:val="Heading 2 Char"/>
    <w:basedOn w:val="DefaultParagraphFont"/>
    <w:link w:val="Heading2"/>
    <w:uiPriority w:val="9"/>
    <w:rsid w:val="006A55C3"/>
    <w:rPr>
      <w:rFonts w:ascii="Times New Roman" w:eastAsia="Times New Roman" w:hAnsi="Times New Roman" w:cs="Times New Roman"/>
      <w:b/>
      <w:bCs/>
      <w:sz w:val="36"/>
      <w:szCs w:val="36"/>
      <w:lang w:bidi="bn-BD"/>
    </w:rPr>
  </w:style>
  <w:style w:type="character" w:customStyle="1" w:styleId="Heading3Char">
    <w:name w:val="Heading 3 Char"/>
    <w:basedOn w:val="DefaultParagraphFont"/>
    <w:link w:val="Heading3"/>
    <w:uiPriority w:val="9"/>
    <w:rsid w:val="006A55C3"/>
    <w:rPr>
      <w:rFonts w:ascii="Times New Roman" w:eastAsia="Times New Roman" w:hAnsi="Times New Roman" w:cs="Times New Roman"/>
      <w:b/>
      <w:bCs/>
      <w:sz w:val="27"/>
      <w:szCs w:val="27"/>
      <w:lang w:bidi="bn-BD"/>
    </w:rPr>
  </w:style>
  <w:style w:type="character" w:customStyle="1" w:styleId="Heading4Char">
    <w:name w:val="Heading 4 Char"/>
    <w:basedOn w:val="DefaultParagraphFont"/>
    <w:link w:val="Heading4"/>
    <w:uiPriority w:val="9"/>
    <w:rsid w:val="006A55C3"/>
    <w:rPr>
      <w:rFonts w:ascii="Times New Roman" w:eastAsia="Times New Roman" w:hAnsi="Times New Roman" w:cs="Times New Roman"/>
      <w:b/>
      <w:bCs/>
      <w:sz w:val="24"/>
      <w:szCs w:val="24"/>
      <w:lang w:bidi="bn-BD"/>
    </w:rPr>
  </w:style>
  <w:style w:type="character" w:customStyle="1" w:styleId="selected">
    <w:name w:val="selected"/>
    <w:basedOn w:val="DefaultParagraphFont"/>
    <w:rsid w:val="006A55C3"/>
  </w:style>
  <w:style w:type="paragraph" w:styleId="NormalWeb">
    <w:name w:val="Normal (Web)"/>
    <w:basedOn w:val="Normal"/>
    <w:uiPriority w:val="99"/>
    <w:semiHidden/>
    <w:unhideWhenUsed/>
    <w:rsid w:val="006A55C3"/>
    <w:pPr>
      <w:spacing w:before="100" w:beforeAutospacing="1" w:after="100" w:afterAutospacing="1" w:line="240" w:lineRule="auto"/>
    </w:pPr>
    <w:rPr>
      <w:rFonts w:ascii="Times New Roman" w:eastAsia="Times New Roman" w:hAnsi="Times New Roman" w:cs="Times New Roman"/>
      <w:sz w:val="24"/>
      <w:szCs w:val="24"/>
      <w:lang w:bidi="bn-B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A55C3"/>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BD"/>
    </w:rPr>
  </w:style>
  <w:style w:type="paragraph" w:styleId="Heading2">
    <w:name w:val="heading 2"/>
    <w:basedOn w:val="Normal"/>
    <w:link w:val="Heading2Char"/>
    <w:uiPriority w:val="9"/>
    <w:qFormat/>
    <w:rsid w:val="006A55C3"/>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paragraph" w:styleId="Heading3">
    <w:name w:val="heading 3"/>
    <w:basedOn w:val="Normal"/>
    <w:link w:val="Heading3Char"/>
    <w:uiPriority w:val="9"/>
    <w:qFormat/>
    <w:rsid w:val="006A55C3"/>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paragraph" w:styleId="Heading4">
    <w:name w:val="heading 4"/>
    <w:basedOn w:val="Normal"/>
    <w:link w:val="Heading4Char"/>
    <w:uiPriority w:val="9"/>
    <w:qFormat/>
    <w:rsid w:val="006A55C3"/>
    <w:pPr>
      <w:spacing w:before="100" w:beforeAutospacing="1" w:after="100" w:afterAutospacing="1" w:line="240" w:lineRule="auto"/>
      <w:outlineLvl w:val="3"/>
    </w:pPr>
    <w:rPr>
      <w:rFonts w:ascii="Times New Roman" w:eastAsia="Times New Roman" w:hAnsi="Times New Roman" w:cs="Times New Roman"/>
      <w:b/>
      <w:bCs/>
      <w:sz w:val="24"/>
      <w:szCs w:val="24"/>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5C3"/>
    <w:rPr>
      <w:rFonts w:ascii="Times New Roman" w:eastAsia="Times New Roman" w:hAnsi="Times New Roman" w:cs="Times New Roman"/>
      <w:b/>
      <w:bCs/>
      <w:kern w:val="36"/>
      <w:sz w:val="48"/>
      <w:szCs w:val="48"/>
      <w:lang w:bidi="bn-BD"/>
    </w:rPr>
  </w:style>
  <w:style w:type="character" w:customStyle="1" w:styleId="Heading2Char">
    <w:name w:val="Heading 2 Char"/>
    <w:basedOn w:val="DefaultParagraphFont"/>
    <w:link w:val="Heading2"/>
    <w:uiPriority w:val="9"/>
    <w:rsid w:val="006A55C3"/>
    <w:rPr>
      <w:rFonts w:ascii="Times New Roman" w:eastAsia="Times New Roman" w:hAnsi="Times New Roman" w:cs="Times New Roman"/>
      <w:b/>
      <w:bCs/>
      <w:sz w:val="36"/>
      <w:szCs w:val="36"/>
      <w:lang w:bidi="bn-BD"/>
    </w:rPr>
  </w:style>
  <w:style w:type="character" w:customStyle="1" w:styleId="Heading3Char">
    <w:name w:val="Heading 3 Char"/>
    <w:basedOn w:val="DefaultParagraphFont"/>
    <w:link w:val="Heading3"/>
    <w:uiPriority w:val="9"/>
    <w:rsid w:val="006A55C3"/>
    <w:rPr>
      <w:rFonts w:ascii="Times New Roman" w:eastAsia="Times New Roman" w:hAnsi="Times New Roman" w:cs="Times New Roman"/>
      <w:b/>
      <w:bCs/>
      <w:sz w:val="27"/>
      <w:szCs w:val="27"/>
      <w:lang w:bidi="bn-BD"/>
    </w:rPr>
  </w:style>
  <w:style w:type="character" w:customStyle="1" w:styleId="Heading4Char">
    <w:name w:val="Heading 4 Char"/>
    <w:basedOn w:val="DefaultParagraphFont"/>
    <w:link w:val="Heading4"/>
    <w:uiPriority w:val="9"/>
    <w:rsid w:val="006A55C3"/>
    <w:rPr>
      <w:rFonts w:ascii="Times New Roman" w:eastAsia="Times New Roman" w:hAnsi="Times New Roman" w:cs="Times New Roman"/>
      <w:b/>
      <w:bCs/>
      <w:sz w:val="24"/>
      <w:szCs w:val="24"/>
      <w:lang w:bidi="bn-BD"/>
    </w:rPr>
  </w:style>
  <w:style w:type="character" w:customStyle="1" w:styleId="selected">
    <w:name w:val="selected"/>
    <w:basedOn w:val="DefaultParagraphFont"/>
    <w:rsid w:val="006A55C3"/>
  </w:style>
  <w:style w:type="paragraph" w:styleId="NormalWeb">
    <w:name w:val="Normal (Web)"/>
    <w:basedOn w:val="Normal"/>
    <w:uiPriority w:val="99"/>
    <w:semiHidden/>
    <w:unhideWhenUsed/>
    <w:rsid w:val="006A55C3"/>
    <w:pPr>
      <w:spacing w:before="100" w:beforeAutospacing="1" w:after="100" w:afterAutospacing="1" w:line="240" w:lineRule="auto"/>
    </w:pPr>
    <w:rPr>
      <w:rFonts w:ascii="Times New Roman" w:eastAsia="Times New Roman" w:hAnsi="Times New Roman" w:cs="Times New Roman"/>
      <w:sz w:val="24"/>
      <w:szCs w:val="24"/>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933059">
      <w:bodyDiv w:val="1"/>
      <w:marLeft w:val="0"/>
      <w:marRight w:val="0"/>
      <w:marTop w:val="0"/>
      <w:marBottom w:val="0"/>
      <w:divBdr>
        <w:top w:val="none" w:sz="0" w:space="0" w:color="auto"/>
        <w:left w:val="none" w:sz="0" w:space="0" w:color="auto"/>
        <w:bottom w:val="none" w:sz="0" w:space="0" w:color="auto"/>
        <w:right w:val="none" w:sz="0" w:space="0" w:color="auto"/>
      </w:divBdr>
    </w:div>
    <w:div w:id="124827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981</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Minhaj</dc:creator>
  <cp:lastModifiedBy>Md Minhaj</cp:lastModifiedBy>
  <cp:revision>2</cp:revision>
  <dcterms:created xsi:type="dcterms:W3CDTF">2025-09-18T16:27:00Z</dcterms:created>
  <dcterms:modified xsi:type="dcterms:W3CDTF">2025-09-18T16:27:00Z</dcterms:modified>
</cp:coreProperties>
</file>