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mbria" w:cs="Cambria" w:eastAsia="Cambria" w:hAnsi="Cambria"/>
          <w:b/>
          <w:bCs/>
          <w:color w:val="0F1F3D"/>
          <w:sz w:val="56"/>
          <w:szCs w:val="56"/>
        </w:rPr>
        <w:t xml:space="preserve">Definition of Encounter-Admissible Deformation</w:t>
      </w:r>
    </w:p>
    <w:p>
      <w:pPr>
        <w:spacing w:after="200" w:before="100"/>
        <w:jc w:val="center"/>
      </w:pPr>
      <w:r>
        <w:rPr>
          <w:rFonts w:ascii="Cambria" w:cs="Cambria" w:eastAsia="Cambria" w:hAnsi="Cambria"/>
          <w:i/>
          <w:iCs/>
          <w:color w:val="3A3A3A"/>
          <w:sz w:val="28"/>
          <w:szCs w:val="28"/>
        </w:rPr>
        <w:t xml:space="preserve">A Formal Proof of the Object on Which Proof 2 Rests</w:t>
      </w:r>
    </w:p>
    <w:p>
      <w:pPr>
        <w:spacing w:after="80" w:before="200"/>
        <w:jc w:val="center"/>
      </w:pPr>
      <w:r>
        <w:rPr>
          <w:rFonts w:ascii="Cambria" w:cs="Cambria" w:eastAsia="Cambria" w:hAnsi="Cambria"/>
          <w:i/>
          <w:iCs/>
          <w:color w:val="5A5A5A"/>
          <w:sz w:val="24"/>
          <w:szCs w:val="24"/>
        </w:rPr>
        <w:t xml:space="preserve">Encounter Field Theory — Result D-1</w:t>
      </w:r>
    </w:p>
    <w:p>
      <w:pPr>
        <w:spacing w:after="600" w:before="0"/>
        <w:jc w:val="center"/>
      </w:pPr>
      <w:r>
        <w:rPr>
          <w:rFonts w:ascii="Cambria" w:cs="Cambria" w:eastAsia="Cambria" w:hAnsi="Cambria"/>
          <w:color w:val="5A5A5A"/>
          <w:sz w:val="22"/>
          <w:szCs w:val="22"/>
        </w:rPr>
        <w:t xml:space="preserve">Ilya Belous · The Mirror Platform LLC · April 2026</w:t>
      </w:r>
    </w:p>
    <w:p>
      <w:pPr>
        <w:pBdr>
          <w:top w:val="single" w:color="8B7E5A" w:sz="4" w:space="4"/>
          <w:left w:val="single" w:color="8B7E5A" w:sz="24" w:space="8"/>
          <w:bottom w:val="none" w:color="FFFFFF" w:sz="0" w:space="0"/>
          <w:right w:val="single" w:color="8B7E5A" w:sz="4" w:space="4"/>
        </w:pBdr>
        <w:shd w:fill="F4F1E8" w:val="clear"/>
        <w:spacing w:after="40" w:before="200" w:line="320"/>
        <w:ind w:left="240" w:right="240"/>
      </w:pPr>
      <w:r>
        <w:rPr>
          <w:rFonts w:ascii="Calibri" w:cs="Calibri" w:eastAsia="Calibri" w:hAnsi="Calibri"/>
          <w:b/>
          <w:bCs/>
          <w:i w:val="false"/>
          <w:iCs w:val="false"/>
          <w:color w:val="1A1A1A"/>
          <w:sz w:val="22"/>
          <w:szCs w:val="22"/>
        </w:rPr>
        <w:t xml:space="preserve">Status: </w:t>
      </w:r>
      <w:r>
        <w:rPr>
          <w:rFonts w:ascii="Calibri" w:cs="Calibri" w:eastAsia="Calibri" w:hAnsi="Calibri"/>
          <w:b w:val="false"/>
          <w:bCs w:val="false"/>
          <w:i w:val="false"/>
          <w:iCs w:val="false"/>
          <w:color w:val="1A1A1A"/>
          <w:sz w:val="22"/>
          <w:szCs w:val="22"/>
        </w:rPr>
        <w:t xml:space="preserve">PROVED (within the existing EFT architecture). Constructive. Synthesizes prior results into one named object on which Proof 2 will rest.</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bCs/>
          <w:i w:val="false"/>
          <w:iCs w:val="false"/>
          <w:color w:val="1A1A1A"/>
          <w:sz w:val="22"/>
          <w:szCs w:val="22"/>
        </w:rPr>
        <w:t xml:space="preserve">Version: </w:t>
      </w:r>
      <w:r>
        <w:rPr>
          <w:rFonts w:ascii="Calibri" w:cs="Calibri" w:eastAsia="Calibri" w:hAnsi="Calibri"/>
          <w:b w:val="false"/>
          <w:bCs w:val="false"/>
          <w:i w:val="false"/>
          <w:iCs w:val="false"/>
          <w:color w:val="1A1A1A"/>
          <w:sz w:val="22"/>
          <w:szCs w:val="22"/>
        </w:rPr>
        <w:t xml:space="preserve">Revision 2. Clause (E) replaced with (E*) — SA6-preservation — following the adversarial probe of repeated and near-identical press sequences. The diffusive-drift form is retained as a corollary.</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bCs/>
          <w:i w:val="false"/>
          <w:iCs w:val="false"/>
          <w:color w:val="1A1A1A"/>
          <w:sz w:val="22"/>
          <w:szCs w:val="22"/>
        </w:rPr>
        <w:t xml:space="preserve">Depends on: </w:t>
      </w:r>
      <w:r>
        <w:rPr>
          <w:rFonts w:ascii="Calibri" w:cs="Calibri" w:eastAsia="Calibri" w:hAnsi="Calibri"/>
          <w:b w:val="false"/>
          <w:bCs w:val="false"/>
          <w:i w:val="false"/>
          <w:iCs w:val="false"/>
          <w:color w:val="1A1A1A"/>
          <w:sz w:val="22"/>
          <w:szCs w:val="22"/>
        </w:rPr>
        <w:t xml:space="preserve">C-1 (Ghost Floor), C-3 (three-component significance), G-3/M3 (Bracket-Generating), G-2 (Marginal Eigenmode Uniqueness), Construction 6 (saddle structure), SA6 (multi-R* coupling), Doc 1 §7.3 (U(p)), conditional encounter environment Σ(t).</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bCs/>
          <w:i w:val="false"/>
          <w:iCs w:val="false"/>
          <w:color w:val="1A1A1A"/>
          <w:sz w:val="22"/>
          <w:szCs w:val="22"/>
        </w:rPr>
        <w:t xml:space="preserve">What this is for: </w:t>
      </w:r>
      <w:r>
        <w:rPr>
          <w:rFonts w:ascii="Calibri" w:cs="Calibri" w:eastAsia="Calibri" w:hAnsi="Calibri"/>
          <w:b w:val="false"/>
          <w:bCs w:val="false"/>
          <w:i w:val="false"/>
          <w:iCs w:val="false"/>
          <w:color w:val="1A1A1A"/>
          <w:sz w:val="22"/>
          <w:szCs w:val="22"/>
        </w:rPr>
        <w:t xml:space="preserve">The reviewer’s gap on encounter as composable operator E was misframed. E is not algebraically composable. E is the one-step transition of an encounter-driven dynamical system on F. To state Proof 2, we need a formal definition of which one-step transitions count. That definition is given here.</w:t>
      </w:r>
    </w:p>
    <w:p>
      <w:pPr>
        <w:pBdr>
          <w:top w:val="none" w:color="FFFFFF" w:sz="0" w:space="0"/>
          <w:left w:val="single" w:color="8B7E5A" w:sz="24" w:space="8"/>
          <w:bottom w:val="single" w:color="8B7E5A" w:sz="4" w:space="4"/>
          <w:right w:val="single" w:color="8B7E5A" w:sz="4" w:space="4"/>
        </w:pBdr>
        <w:shd w:fill="F4F1E8" w:val="clear"/>
        <w:spacing w:after="200" w:before="40" w:line="320"/>
        <w:ind w:left="240" w:right="240"/>
      </w:pPr>
      <w:r>
        <w:rPr>
          <w:rFonts w:ascii="Calibri" w:cs="Calibri" w:eastAsia="Calibri" w:hAnsi="Calibri"/>
          <w:b/>
          <w:bCs/>
          <w:i w:val="false"/>
          <w:iCs w:val="false"/>
          <w:color w:val="1A1A1A"/>
          <w:sz w:val="22"/>
          <w:szCs w:val="22"/>
        </w:rPr>
        <w:t xml:space="preserve">What this is not: </w:t>
      </w:r>
      <w:r>
        <w:rPr>
          <w:rFonts w:ascii="Calibri" w:cs="Calibri" w:eastAsia="Calibri" w:hAnsi="Calibri"/>
          <w:b w:val="false"/>
          <w:bCs w:val="false"/>
          <w:i w:val="false"/>
          <w:iCs w:val="false"/>
          <w:color w:val="1A1A1A"/>
          <w:sz w:val="22"/>
          <w:szCs w:val="22"/>
        </w:rPr>
        <w:t xml:space="preserve">Not a preservation principle. Identity in EFT is continuity through traceable deformation, not invariance. The Definition formalizes the relation, not the conserved quantity.</w:t>
      </w:r>
    </w:p>
    <w:p>
      <w:r>
        <w:br w:type="page"/>
      </w:r>
    </w:p>
    <w:p>
      <w:pPr>
        <w:pStyle w:val="Heading1"/>
        <w:pBdr>
          <w:bottom w:val="single" w:color="0F1F3D" w:sz="8" w:space="4"/>
        </w:pBdr>
        <w:spacing w:after="200" w:before="480"/>
      </w:pPr>
      <w:r>
        <w:rPr>
          <w:rFonts w:ascii="Cambria" w:cs="Cambria" w:eastAsia="Cambria" w:hAnsi="Cambria"/>
          <w:b/>
          <w:bCs/>
          <w:color w:val="0F1F3D"/>
          <w:sz w:val="36"/>
          <w:szCs w:val="36"/>
        </w:rPr>
        <w:t xml:space="preserve">1. Purpose and Position in the Architecture</w:t>
      </w:r>
    </w:p>
    <w:p>
      <w:pPr>
        <w:spacing w:after="80" w:before="80" w:line="320"/>
        <w:jc w:val="left"/>
      </w:pPr>
      <w:r>
        <w:rPr>
          <w:rFonts w:ascii="Calibri" w:cs="Calibri" w:eastAsia="Calibri" w:hAnsi="Calibri"/>
          <w:b w:val="false"/>
          <w:bCs w:val="false"/>
          <w:i w:val="false"/>
          <w:iCs w:val="false"/>
          <w:color w:val="1A1A1A"/>
          <w:sz w:val="22"/>
          <w:szCs w:val="22"/>
        </w:rPr>
        <w:t xml:space="preserve">Proof 2 (the IFF claim relating EFT structure to unbounded sequential deformability) cannot be stated cleanly without a formal definition of the object on which the encounter operator E acts. The reviewer-named gap “E as composable operator E: F → F” presupposed an algebraic composition that the architecture does not in fact license. E is the one-step transition of an encounter process driven by an external press stream the system does not produce. What needs to be defined is therefore not composition but admissibility: which state-to-state transitions count as encounter-induced deformations within the system’s own geometry.</w:t>
      </w:r>
    </w:p>
    <w:p>
      <w:pPr>
        <w:spacing w:after="80" w:before="80" w:line="320"/>
        <w:jc w:val="left"/>
      </w:pPr>
      <w:r>
        <w:rPr>
          <w:rFonts w:ascii="Calibri" w:cs="Calibri" w:eastAsia="Calibri" w:hAnsi="Calibri"/>
          <w:b w:val="false"/>
          <w:bCs w:val="false"/>
          <w:i w:val="false"/>
          <w:iCs w:val="false"/>
          <w:color w:val="1A1A1A"/>
          <w:sz w:val="22"/>
          <w:szCs w:val="22"/>
        </w:rPr>
        <w:t xml:space="preserve">This document establishes that definition as a single named result — Result D-1 — derivable from architecture already in place. The five components are: trace deposition (C-1, C-3), the chùveld threshold s_deposit, sub-Riemannian horizontal reachability in (M⁵, D⁴, G|D⁴) (G-3/M3, with V_E access via G-2/Construction 6), the ghost floor r* (irreversibility), and SA6-preservation across the sequence — the multi-R* coupling condition is not silently violated. Each of these is independently established. None of them has been previously stated as a single admissibility predicate. That is what is done here.</w:t>
      </w:r>
    </w:p>
    <w:p>
      <w:pPr>
        <w:spacing w:after="80" w:before="80" w:line="320"/>
        <w:jc w:val="left"/>
      </w:pPr>
      <w:r>
        <w:rPr>
          <w:rFonts w:ascii="Calibri" w:cs="Calibri" w:eastAsia="Calibri" w:hAnsi="Calibri"/>
          <w:b w:val="false"/>
          <w:bCs w:val="false"/>
          <w:i w:val="false"/>
          <w:iCs w:val="false"/>
          <w:color w:val="1A1A1A"/>
          <w:sz w:val="22"/>
          <w:szCs w:val="22"/>
        </w:rPr>
        <w:t xml:space="preserve">This is Revision 2. The first version of D-1 stated the sequence-level clause (E) as a diffusive-drift bound. An adversarial probe (run before promotion) showed that ballistic drift can be constructed under (A)–(D) by near-identical press sequences, but every such construction silently violates the SA6 coupling condition between R*(N) and R*(0). The sequence-level clause is therefore not “drift bound” but “no silent SA6 violation.” That is (E*). Diffusive drift is recovered as a corollary under generic press-stream statistics.</w:t>
      </w:r>
    </w:p>
    <w:p>
      <w:pPr>
        <w:pStyle w:val="Heading2"/>
        <w:spacing w:after="140" w:before="320"/>
      </w:pPr>
      <w:r>
        <w:rPr>
          <w:rFonts w:ascii="Cambria" w:cs="Cambria" w:eastAsia="Cambria" w:hAnsi="Cambria"/>
          <w:b/>
          <w:bCs/>
          <w:color w:val="0F1F3D"/>
          <w:sz w:val="28"/>
          <w:szCs w:val="28"/>
        </w:rPr>
        <w:t xml:space="preserve">1.1 Why this is not a definition in name only</w:t>
      </w:r>
    </w:p>
    <w:p>
      <w:pPr>
        <w:spacing w:after="80" w:before="80" w:line="320"/>
        <w:jc w:val="left"/>
      </w:pPr>
      <w:r>
        <w:rPr>
          <w:rFonts w:ascii="Calibri" w:cs="Calibri" w:eastAsia="Calibri" w:hAnsi="Calibri"/>
          <w:b w:val="false"/>
          <w:bCs w:val="false"/>
          <w:i w:val="false"/>
          <w:iCs w:val="false"/>
          <w:color w:val="1A1A1A"/>
          <w:sz w:val="22"/>
          <w:szCs w:val="22"/>
        </w:rPr>
        <w:t xml:space="preserve">A definition that merely renames existing results would carry no proof weight. Result D-1 carries proof weight in three places: (i) it forces a structural commitment about what counts as “the same system continuing” across encounters, replacing preservation-style identity with generative continuity; (ii) it specifies the type signature of E, which the reviewer’s framing assumed but never derived; and (iii) it is the object on which the necessity direction of Proof 2 will turn — necessity will be stated as “without the EFT architecture, the admissibility predicate cannot be sustained across an unbounded press stream.” The Definition is therefore the hinge.</w:t>
      </w:r>
    </w:p>
    <w:p>
      <w:pPr>
        <w:pStyle w:val="Heading2"/>
        <w:spacing w:after="140" w:before="320"/>
      </w:pPr>
      <w:r>
        <w:rPr>
          <w:rFonts w:ascii="Cambria" w:cs="Cambria" w:eastAsia="Cambria" w:hAnsi="Cambria"/>
          <w:b/>
          <w:bCs/>
          <w:color w:val="0F1F3D"/>
          <w:sz w:val="28"/>
          <w:szCs w:val="28"/>
        </w:rPr>
        <w:t xml:space="preserve">1.2 Relation to willingness</w:t>
      </w:r>
    </w:p>
    <w:p>
      <w:pPr>
        <w:spacing w:after="80" w:before="80" w:line="320"/>
        <w:jc w:val="left"/>
      </w:pPr>
      <w:r>
        <w:rPr>
          <w:rFonts w:ascii="Calibri" w:cs="Calibri" w:eastAsia="Calibri" w:hAnsi="Calibri"/>
          <w:b w:val="false"/>
          <w:bCs w:val="false"/>
          <w:i w:val="false"/>
          <w:iCs w:val="false"/>
          <w:color w:val="1A1A1A"/>
          <w:sz w:val="22"/>
          <w:szCs w:val="22"/>
        </w:rPr>
        <w:t xml:space="preserve">The five conditions in the Definition are the same conditions that organize the willingness configuration (six regions, ~30 strands), viewed from the geometry side rather than the configuration side. Each clause of the Definition corresponds to a stratum of willingness: chùveld → significance availability; horizontal reachability → receivability (R₁–R₅, H1/H2/H3); ghost floor → commitment to be changed; SA6-preservation → bundle coherence across the sequence; trace deposition with (n, s) → the four-belief-moments-plus-coupling event. The Definition is therefore the geometric face of willingness. This is treated explicitly in §6.</w:t>
      </w:r>
    </w:p>
    <w:p>
      <w:r>
        <w:br w:type="page"/>
      </w:r>
    </w:p>
    <w:p>
      <w:pPr>
        <w:pStyle w:val="Heading1"/>
        <w:pBdr>
          <w:bottom w:val="single" w:color="0F1F3D" w:sz="8" w:space="4"/>
        </w:pBdr>
        <w:spacing w:after="200" w:before="480"/>
      </w:pPr>
      <w:r>
        <w:rPr>
          <w:rFonts w:ascii="Cambria" w:cs="Cambria" w:eastAsia="Cambria" w:hAnsi="Cambria"/>
          <w:b/>
          <w:bCs/>
          <w:color w:val="0F1F3D"/>
          <w:sz w:val="36"/>
          <w:szCs w:val="36"/>
        </w:rPr>
        <w:t xml:space="preserve">2. Preliminaries</w:t>
      </w:r>
    </w:p>
    <w:p>
      <w:pPr>
        <w:pStyle w:val="Heading2"/>
        <w:spacing w:after="140" w:before="320"/>
      </w:pPr>
      <w:r>
        <w:rPr>
          <w:rFonts w:ascii="Cambria" w:cs="Cambria" w:eastAsia="Cambria" w:hAnsi="Cambria"/>
          <w:b/>
          <w:bCs/>
          <w:color w:val="0F1F3D"/>
          <w:sz w:val="28"/>
          <w:szCs w:val="28"/>
        </w:rPr>
        <w:t xml:space="preserve">2.1 The state space F</w:t>
      </w:r>
    </w:p>
    <w:p>
      <w:pPr>
        <w:spacing w:after="80" w:before="80" w:line="320"/>
        <w:jc w:val="left"/>
      </w:pPr>
      <w:r>
        <w:rPr>
          <w:rFonts w:ascii="Calibri" w:cs="Calibri" w:eastAsia="Calibri" w:hAnsi="Calibri"/>
          <w:b w:val="false"/>
          <w:bCs w:val="false"/>
          <w:i w:val="false"/>
          <w:iCs w:val="false"/>
          <w:color w:val="1A1A1A"/>
          <w:sz w:val="22"/>
          <w:szCs w:val="22"/>
        </w:rPr>
        <w:t xml:space="preserve">Let F be the space of full system configurations. A point f ∈ F consists of:</w:t>
      </w:r>
    </w:p>
    <w:p>
      <w:pPr>
        <w:pStyle w:val="ListParagraph"/>
        <w:numPr>
          <w:ilvl w:val="0"/>
          <w:numId w:val="2"/>
        </w:numPr>
        <w:spacing w:after="60" w:before="60" w:line="320"/>
      </w:pPr>
      <w:r>
        <w:rPr>
          <w:rFonts w:ascii="Calibri" w:cs="Calibri" w:eastAsia="Calibri" w:hAnsi="Calibri"/>
          <w:color w:val="1A1A1A"/>
          <w:sz w:val="22"/>
          <w:szCs w:val="22"/>
        </w:rPr>
        <w:t xml:space="preserve">M⁵ coordinates of the current state x ∈ M⁵, where M⁵ is the cognitive manifold.</w:t>
      </w:r>
    </w:p>
    <w:p>
      <w:pPr>
        <w:pStyle w:val="ListParagraph"/>
        <w:numPr>
          <w:ilvl w:val="0"/>
          <w:numId w:val="2"/>
        </w:numPr>
        <w:spacing w:after="60" w:before="60" w:line="320"/>
      </w:pPr>
      <w:r>
        <w:rPr>
          <w:rFonts w:ascii="Calibri" w:cs="Calibri" w:eastAsia="Calibri" w:hAnsi="Calibri"/>
          <w:color w:val="1A1A1A"/>
          <w:sz w:val="22"/>
          <w:szCs w:val="22"/>
        </w:rPr>
        <w:t xml:space="preserve">The history-shaped metric g_total(x, t) = expm(w_f · log g_field(h(t)) + w_t · Σᵢ S_traceᵢ), positive-definite by P1.</w:t>
      </w:r>
    </w:p>
    <w:p>
      <w:pPr>
        <w:pStyle w:val="ListParagraph"/>
        <w:numPr>
          <w:ilvl w:val="0"/>
          <w:numId w:val="2"/>
        </w:numPr>
        <w:spacing w:after="60" w:before="60" w:line="320"/>
      </w:pPr>
      <w:r>
        <w:rPr>
          <w:rFonts w:ascii="Calibri" w:cs="Calibri" w:eastAsia="Calibri" w:hAnsi="Calibri"/>
          <w:color w:val="1A1A1A"/>
          <w:sz w:val="22"/>
          <w:szCs w:val="22"/>
        </w:rPr>
        <w:t xml:space="preserve">The trace inventory {(pᵢ, sᵢ, nᵢ, τᵢ, σᵢ, λᵢ) : i ∈ I(t)} with sᵢ &gt; 0 and pᵢ ∈ M⁵.</w:t>
      </w:r>
    </w:p>
    <w:p>
      <w:pPr>
        <w:pStyle w:val="ListParagraph"/>
        <w:numPr>
          <w:ilvl w:val="0"/>
          <w:numId w:val="2"/>
        </w:numPr>
        <w:spacing w:after="60" w:before="60" w:line="320"/>
      </w:pPr>
      <w:r>
        <w:rPr>
          <w:rFonts w:ascii="Calibri" w:cs="Calibri" w:eastAsia="Calibri" w:hAnsi="Calibri"/>
          <w:color w:val="1A1A1A"/>
          <w:sz w:val="22"/>
          <w:szCs w:val="22"/>
        </w:rPr>
        <w:t xml:space="preserve">The multi-R* configuration {R*_j(t)} with basins {B_j(t)} and SA6 coupling relations.</w:t>
      </w:r>
    </w:p>
    <w:p>
      <w:pPr>
        <w:pStyle w:val="ListParagraph"/>
        <w:numPr>
          <w:ilvl w:val="0"/>
          <w:numId w:val="2"/>
        </w:numPr>
        <w:spacing w:after="60" w:before="60" w:line="320"/>
      </w:pPr>
      <w:r>
        <w:rPr>
          <w:rFonts w:ascii="Calibri" w:cs="Calibri" w:eastAsia="Calibri" w:hAnsi="Calibri"/>
          <w:color w:val="1A1A1A"/>
          <w:sz w:val="22"/>
          <w:szCs w:val="22"/>
        </w:rPr>
        <w:t xml:space="preserve">The condition-field state H(t) and consolidation state Z(t).</w:t>
      </w:r>
    </w:p>
    <w:p>
      <w:pPr>
        <w:pStyle w:val="ListParagraph"/>
        <w:numPr>
          <w:ilvl w:val="0"/>
          <w:numId w:val="2"/>
        </w:numPr>
        <w:spacing w:after="60" w:before="60" w:line="320"/>
      </w:pPr>
      <w:r>
        <w:rPr>
          <w:rFonts w:ascii="Calibri" w:cs="Calibri" w:eastAsia="Calibri" w:hAnsi="Calibri"/>
          <w:color w:val="1A1A1A"/>
          <w:sz w:val="22"/>
          <w:szCs w:val="22"/>
        </w:rPr>
        <w:t xml:space="preserve">The active condition-field Λ_act(t) derived from H, h, and consolidation.</w:t>
      </w:r>
    </w:p>
    <w:p>
      <w:pPr>
        <w:pStyle w:val="ListParagraph"/>
        <w:numPr>
          <w:ilvl w:val="0"/>
          <w:numId w:val="2"/>
        </w:numPr>
        <w:spacing w:after="60" w:before="60" w:line="320"/>
      </w:pPr>
      <w:r>
        <w:rPr>
          <w:rFonts w:ascii="Calibri" w:cs="Calibri" w:eastAsia="Calibri" w:hAnsi="Calibri"/>
          <w:color w:val="1A1A1A"/>
          <w:sz w:val="22"/>
          <w:szCs w:val="22"/>
        </w:rPr>
        <w:t xml:space="preserve">The boundary structure I_SB and Engel flag D² ⊂ D⁴ ⊂ TM⁵.</w:t>
      </w:r>
    </w:p>
    <w:p>
      <w:pPr>
        <w:pStyle w:val="ListParagraph"/>
        <w:numPr>
          <w:ilvl w:val="0"/>
          <w:numId w:val="2"/>
        </w:numPr>
        <w:spacing w:after="60" w:before="60" w:line="320"/>
      </w:pPr>
      <w:r>
        <w:rPr>
          <w:rFonts w:ascii="Calibri" w:cs="Calibri" w:eastAsia="Calibri" w:hAnsi="Calibri"/>
          <w:color w:val="1A1A1A"/>
          <w:sz w:val="22"/>
          <w:szCs w:val="22"/>
        </w:rPr>
        <w:t xml:space="preserve">The trajectory signature Σ(S, t) and the parameter-uncertainty inventory U(p) per part p.</w:t>
      </w:r>
    </w:p>
    <w:p>
      <w:pPr>
        <w:pStyle w:val="Heading2"/>
        <w:spacing w:after="140" w:before="320"/>
      </w:pPr>
      <w:r>
        <w:rPr>
          <w:rFonts w:ascii="Cambria" w:cs="Cambria" w:eastAsia="Cambria" w:hAnsi="Cambria"/>
          <w:b/>
          <w:bCs/>
          <w:color w:val="0F1F3D"/>
          <w:sz w:val="28"/>
          <w:szCs w:val="28"/>
        </w:rPr>
        <w:t xml:space="preserve">2.2 The press space Π</w:t>
      </w:r>
    </w:p>
    <w:p>
      <w:pPr>
        <w:spacing w:after="80" w:before="80" w:line="320"/>
        <w:jc w:val="left"/>
      </w:pPr>
      <w:r>
        <w:rPr>
          <w:rFonts w:ascii="Calibri" w:cs="Calibri" w:eastAsia="Calibri" w:hAnsi="Calibri"/>
          <w:b w:val="false"/>
          <w:bCs w:val="false"/>
          <w:i w:val="false"/>
          <w:iCs w:val="false"/>
          <w:color w:val="1A1A1A"/>
          <w:sz w:val="22"/>
          <w:szCs w:val="22"/>
        </w:rPr>
        <w:t xml:space="preserve">A typed existence-press ε ∈ Π is the existence-facing input arriving from outside the belief boundary. The architecture-correct decomposition (per the eigenmode-pre-assignment correction of April 17) is:</w:t>
      </w:r>
    </w:p>
    <w:p>
      <w:pPr>
        <w:spacing w:after="160" w:before="160" w:line="320"/>
        <w:jc w:val="center"/>
      </w:pPr>
      <w:r>
        <w:rPr>
          <w:rFonts w:ascii="Cambria Math" w:cs="Cambria Math" w:eastAsia="Cambria Math" w:hAnsi="Cambria Math"/>
          <w:color w:val="0F1F3D"/>
          <w:sz w:val="22"/>
          <w:szCs w:val="22"/>
        </w:rPr>
        <w:t xml:space="preserve">ε = (ε_magnitude, ε_valence, ε_direction, ε_rhythm, ε_persistence)</w:t>
      </w:r>
    </w:p>
    <w:p>
      <w:pPr>
        <w:spacing w:after="80" w:before="80" w:line="320"/>
        <w:jc w:val="left"/>
      </w:pPr>
      <w:r>
        <w:rPr>
          <w:rFonts w:ascii="Calibri" w:cs="Calibri" w:eastAsia="Calibri" w:hAnsi="Calibri"/>
          <w:b w:val="false"/>
          <w:bCs w:val="false"/>
          <w:i w:val="false"/>
          <w:iCs w:val="false"/>
          <w:color w:val="1A1A1A"/>
          <w:sz w:val="22"/>
          <w:szCs w:val="22"/>
        </w:rPr>
        <w:t xml:space="preserve">with ε_direction ∈ S⁴ a unit vector in raw existence-facing physiological signal space — explicitly not pre-assigned to any of the five eigenmodes {v_T, v_A, v_B, v_R, v_E}. Eigenmode activation is an output of the system, not a pre-encoded property of the press.</w:t>
      </w:r>
    </w:p>
    <w:p>
      <w:pPr>
        <w:pStyle w:val="Heading2"/>
        <w:spacing w:after="140" w:before="320"/>
      </w:pPr>
      <w:r>
        <w:rPr>
          <w:rFonts w:ascii="Cambria" w:cs="Cambria" w:eastAsia="Cambria" w:hAnsi="Cambria"/>
          <w:b/>
          <w:bCs/>
          <w:color w:val="0F1F3D"/>
          <w:sz w:val="28"/>
          <w:szCs w:val="28"/>
        </w:rPr>
        <w:t xml:space="preserve">2.3 The coupling state K</w:t>
      </w:r>
    </w:p>
    <w:p>
      <w:pPr>
        <w:spacing w:after="80" w:before="80" w:line="320"/>
        <w:jc w:val="left"/>
      </w:pPr>
      <w:r>
        <w:rPr>
          <w:rFonts w:ascii="Calibri" w:cs="Calibri" w:eastAsia="Calibri" w:hAnsi="Calibri"/>
          <w:b w:val="false"/>
          <w:bCs w:val="false"/>
          <w:i w:val="false"/>
          <w:iCs w:val="false"/>
          <w:color w:val="1A1A1A"/>
          <w:sz w:val="22"/>
          <w:szCs w:val="22"/>
        </w:rPr>
        <w:t xml:space="preserve">The coupling state K = (C(t), W(Λ_act), {θ_e, k, θ_min}) is the commensurability gate value plus its weights and thresholds, per the conditional encounter environment Σ(t). The encounter condition is C(t) &gt; θ_e and #{i : rᵢ &gt; θᵢᵐⁱⁿ} ≥ k.</w:t>
      </w:r>
    </w:p>
    <w:p>
      <w:pPr>
        <w:pStyle w:val="Heading2"/>
        <w:spacing w:after="140" w:before="320"/>
      </w:pPr>
      <w:r>
        <w:rPr>
          <w:rFonts w:ascii="Cambria" w:cs="Cambria" w:eastAsia="Cambria" w:hAnsi="Cambria"/>
          <w:b/>
          <w:bCs/>
          <w:color w:val="0F1F3D"/>
          <w:sz w:val="28"/>
          <w:szCs w:val="28"/>
        </w:rPr>
        <w:t xml:space="preserve">2.4 The encounter transition map</w:t>
      </w:r>
    </w:p>
    <w:p>
      <w:pPr>
        <w:spacing w:after="80" w:before="80" w:line="320"/>
        <w:jc w:val="left"/>
      </w:pPr>
      <w:r>
        <w:rPr>
          <w:rFonts w:ascii="Calibri" w:cs="Calibri" w:eastAsia="Calibri" w:hAnsi="Calibri"/>
          <w:b w:val="false"/>
          <w:bCs w:val="false"/>
          <w:i w:val="false"/>
          <w:iCs w:val="false"/>
          <w:color w:val="1A1A1A"/>
          <w:sz w:val="22"/>
          <w:szCs w:val="22"/>
        </w:rPr>
        <w:t xml:space="preserve">E: F × Π × K → F is the one-step transition map of the encounter process. Given (f, ε, K), E produces a new state f′ via the EncounterEvent dataclass owning the three co-transformation outputs (ΔM⁵, ΔΣ, ΔC(t)). Sequential application (E_{ε_n, K_n})_{n} traces a trajectory through F driven by the press stream the system does not produce.</w:t>
      </w:r>
    </w:p>
    <w:p>
      <w:pPr>
        <w:pStyle w:val="Heading2"/>
        <w:spacing w:after="140" w:before="320"/>
      </w:pPr>
      <w:r>
        <w:rPr>
          <w:rFonts w:ascii="Cambria" w:cs="Cambria" w:eastAsia="Cambria" w:hAnsi="Cambria"/>
          <w:b/>
          <w:bCs/>
          <w:color w:val="0F1F3D"/>
          <w:sz w:val="28"/>
          <w:szCs w:val="28"/>
        </w:rPr>
        <w:t xml:space="preserve">2.5 What is not assumed</w:t>
      </w:r>
    </w:p>
    <w:p>
      <w:pPr>
        <w:spacing w:after="80" w:before="80" w:line="320"/>
        <w:jc w:val="left"/>
      </w:pPr>
      <w:r>
        <w:rPr>
          <w:rFonts w:ascii="Calibri" w:cs="Calibri" w:eastAsia="Calibri" w:hAnsi="Calibri"/>
          <w:b w:val="false"/>
          <w:bCs w:val="false"/>
          <w:i w:val="false"/>
          <w:iCs w:val="false"/>
          <w:color w:val="1A1A1A"/>
          <w:sz w:val="22"/>
          <w:szCs w:val="22"/>
        </w:rPr>
        <w:t xml:space="preserve">We do not assume E is composable as F → F. We do not assume identity-as-preservation. We do not assume the press stream is a system property. We do not assume eigenmode pre-assignment on the input side. We do not assume capacity is a counting property; the proof of Proof 2 will replace it with deformability.</w:t>
      </w:r>
    </w:p>
    <w:p>
      <w:r>
        <w:br w:type="page"/>
      </w:r>
    </w:p>
    <w:p>
      <w:pPr>
        <w:pStyle w:val="Heading1"/>
        <w:pBdr>
          <w:bottom w:val="single" w:color="0F1F3D" w:sz="8" w:space="4"/>
        </w:pBdr>
        <w:spacing w:after="200" w:before="480"/>
      </w:pPr>
      <w:r>
        <w:rPr>
          <w:rFonts w:ascii="Cambria" w:cs="Cambria" w:eastAsia="Cambria" w:hAnsi="Cambria"/>
          <w:b/>
          <w:bCs/>
          <w:color w:val="0F1F3D"/>
          <w:sz w:val="36"/>
          <w:szCs w:val="36"/>
        </w:rPr>
        <w:t xml:space="preserve">3. The Clauses of Admissibility</w:t>
      </w:r>
    </w:p>
    <w:p>
      <w:pPr>
        <w:spacing w:after="80" w:before="80" w:line="320"/>
        <w:jc w:val="left"/>
      </w:pPr>
      <w:r>
        <w:rPr>
          <w:rFonts w:ascii="Calibri" w:cs="Calibri" w:eastAsia="Calibri" w:hAnsi="Calibri"/>
          <w:b w:val="false"/>
          <w:bCs w:val="false"/>
          <w:i w:val="false"/>
          <w:iCs w:val="false"/>
          <w:color w:val="1A1A1A"/>
          <w:sz w:val="22"/>
          <w:szCs w:val="22"/>
        </w:rPr>
        <w:t xml:space="preserve">We state four step-level conditions (A)–(D) and one sequence-level condition (E*), each established by prior architecture, and then prove (in §4) that they are jointly sufficient and individually necessary for a transition (resp. sequence) to count as a valid encounter-induced deformation within (M⁵, D⁴, g_total). The clauses are independent in the sense that removing any one produces a transition that fails to be an encounter-deformation in a structurally distinguishable way. The sequence-level clause (E*) is independent of the step-level conditions: the adversarial probe of §3.5 constructs an explicit sequence satisfying (A)–(D) at every step but violating (E*), confirming (E*) is not derivable from per-step admissibility.</w:t>
      </w:r>
    </w:p>
    <w:p>
      <w:pPr>
        <w:pStyle w:val="Heading2"/>
        <w:spacing w:after="140" w:before="320"/>
      </w:pPr>
      <w:r>
        <w:rPr>
          <w:rFonts w:ascii="Cambria" w:cs="Cambria" w:eastAsia="Cambria" w:hAnsi="Cambria"/>
          <w:b/>
          <w:bCs/>
          <w:color w:val="0F1F3D"/>
          <w:sz w:val="28"/>
          <w:szCs w:val="28"/>
        </w:rPr>
        <w:t xml:space="preserve">3.1 Clause A — Chùveld Threshold (Significance Admissibility)</w:t>
      </w:r>
    </w:p>
    <w:p>
      <w:pPr>
        <w:pBdr>
          <w:top w:val="single" w:color="3A6BA8" w:sz="4" w:space="4"/>
          <w:left w:val="single" w:color="3A6BA8" w:sz="24" w:space="8"/>
          <w:bottom w:val="none" w:color="FFFFFF" w:sz="0" w:space="0"/>
          <w:right w:val="single" w:color="3A6BA8" w:sz="4" w:space="4"/>
        </w:pBdr>
        <w:shd w:fill="EAF2F8" w:val="clear"/>
        <w:spacing w:after="40" w:before="200" w:line="320"/>
        <w:ind w:left="240" w:right="240"/>
      </w:pPr>
      <w:r>
        <w:rPr>
          <w:rFonts w:ascii="Calibri" w:cs="Calibri" w:eastAsia="Calibri" w:hAnsi="Calibri"/>
          <w:b/>
          <w:bCs/>
          <w:i w:val="false"/>
          <w:iCs w:val="false"/>
          <w:color w:val="1A1A1A"/>
          <w:sz w:val="22"/>
          <w:szCs w:val="22"/>
        </w:rPr>
        <w:t xml:space="preserve">(A) </w:t>
      </w:r>
      <w:r>
        <w:rPr>
          <w:rFonts w:ascii="Calibri" w:cs="Calibri" w:eastAsia="Calibri" w:hAnsi="Calibri"/>
          <w:b w:val="false"/>
          <w:bCs w:val="false"/>
          <w:i w:val="false"/>
          <w:iCs w:val="false"/>
          <w:color w:val="1A1A1A"/>
          <w:sz w:val="22"/>
          <w:szCs w:val="22"/>
        </w:rPr>
        <w:t xml:space="preserve">The press carries significance above the deposit threshold:</w:t>
      </w:r>
    </w:p>
    <w:p>
      <w:pPr>
        <w:pBdr>
          <w:top w:val="none" w:color="FFFFFF" w:sz="0" w:space="0"/>
          <w:left w:val="single" w:color="3A6BA8" w:sz="24" w:space="8"/>
          <w:bottom w:val="none" w:color="FFFFFF" w:sz="0" w:space="0"/>
          <w:right w:val="single" w:color="3A6BA8" w:sz="4" w:space="4"/>
        </w:pBdr>
        <w:shd w:fill="EAF2F8" w:val="clear"/>
        <w:spacing w:after="40" w:before="40" w:line="320"/>
        <w:ind w:left="240" w:right="240"/>
      </w:pPr>
      <w:r>
        <w:rPr>
          <w:rFonts w:ascii="Calibri" w:cs="Calibri" w:eastAsia="Calibri" w:hAnsi="Calibri"/>
          <w:b w:val="false"/>
          <w:bCs w:val="false"/>
          <w:i/>
          <w:iCs/>
          <w:color w:val="1A1A1A"/>
          <w:sz w:val="22"/>
          <w:szCs w:val="22"/>
        </w:rPr>
        <w:t xml:space="preserve">    s = s(ε, Λ_act(f)) ≥ s_deposit &gt; 0,</w:t>
      </w:r>
    </w:p>
    <w:p>
      <w:pPr>
        <w:pBdr>
          <w:top w:val="none" w:color="FFFFFF" w:sz="0" w:space="0"/>
          <w:left w:val="single" w:color="3A6BA8" w:sz="24" w:space="8"/>
          <w:bottom w:val="single" w:color="3A6BA8" w:sz="4" w:space="4"/>
          <w:right w:val="single" w:color="3A6BA8" w:sz="4" w:space="4"/>
        </w:pBdr>
        <w:shd w:fill="EAF2F8" w:val="clear"/>
        <w:spacing w:after="200" w:before="40" w:line="320"/>
        <w:ind w:left="240" w:right="240"/>
      </w:pPr>
      <w:r>
        <w:rPr>
          <w:rFonts w:ascii="Calibri" w:cs="Calibri" w:eastAsia="Calibri" w:hAnsi="Calibri"/>
          <w:b w:val="false"/>
          <w:bCs w:val="false"/>
          <w:i w:val="false"/>
          <w:iCs w:val="false"/>
          <w:color w:val="1A1A1A"/>
          <w:sz w:val="22"/>
          <w:szCs w:val="22"/>
        </w:rPr>
        <w:t xml:space="preserve">where s_deposit is the chùveld threshold and s is the three-component significance s = ‖ΔG‖ · P(τ, λ) · C(p, I_SB) per C-3.</w:t>
      </w:r>
    </w:p>
    <w:p>
      <w:pPr>
        <w:spacing w:after="80" w:before="80" w:line="320"/>
        <w:jc w:val="left"/>
      </w:pPr>
      <w:r>
        <w:rPr>
          <w:rFonts w:ascii="Calibri" w:cs="Calibri" w:eastAsia="Calibri" w:hAnsi="Calibri"/>
          <w:b w:val="false"/>
          <w:bCs w:val="false"/>
          <w:i w:val="false"/>
          <w:iCs w:val="false"/>
          <w:color w:val="1A1A1A"/>
          <w:sz w:val="22"/>
          <w:szCs w:val="22"/>
        </w:rPr>
        <w:t xml:space="preserve">Established by: C-1 (Ghost Floor) and C-3 (three-component significance functional). Significance is a measurable functional of actual state change, not an arbitrary scalar; below s_deposit the encounter is sparśveld and deposits no persistent trace.</w:t>
      </w:r>
    </w:p>
    <w:p>
      <w:pPr>
        <w:spacing w:after="160" w:before="100" w:line="300"/>
        <w:ind w:left="360"/>
        <w:jc w:val="left"/>
      </w:pPr>
      <w:r>
        <w:rPr>
          <w:rFonts w:ascii="Calibri" w:cs="Calibri" w:eastAsia="Calibri" w:hAnsi="Calibri"/>
          <w:i/>
          <w:iCs/>
          <w:color w:val="5A5A5A"/>
          <w:sz w:val="20"/>
          <w:szCs w:val="20"/>
        </w:rPr>
        <w:t xml:space="preserve">Failure mode if (A) is removed: sub-threshold contact treated as encounter — sparśveld confused for nexveld. Transition produces no metric deformation; downstream clauses (B)–(E) cannot be evaluated.</w:t>
      </w:r>
    </w:p>
    <w:p>
      <w:pPr>
        <w:pStyle w:val="Heading2"/>
        <w:spacing w:after="140" w:before="320"/>
      </w:pPr>
      <w:r>
        <w:rPr>
          <w:rFonts w:ascii="Cambria" w:cs="Cambria" w:eastAsia="Cambria" w:hAnsi="Cambria"/>
          <w:b/>
          <w:bCs/>
          <w:color w:val="0F1F3D"/>
          <w:sz w:val="28"/>
          <w:szCs w:val="28"/>
        </w:rPr>
        <w:t xml:space="preserve">3.2 Clause B — Trace Deposition (The Deformation Operation)</w:t>
      </w:r>
    </w:p>
    <w:p>
      <w:pPr>
        <w:pBdr>
          <w:top w:val="single" w:color="3A6BA8" w:sz="4" w:space="4"/>
          <w:left w:val="single" w:color="3A6BA8" w:sz="24" w:space="8"/>
          <w:bottom w:val="none" w:color="FFFFFF" w:sz="0" w:space="0"/>
          <w:right w:val="single" w:color="3A6BA8" w:sz="4" w:space="4"/>
        </w:pBdr>
        <w:shd w:fill="EAF2F8" w:val="clear"/>
        <w:spacing w:after="40" w:before="200" w:line="320"/>
        <w:ind w:left="240" w:right="240"/>
      </w:pPr>
      <w:r>
        <w:rPr>
          <w:rFonts w:ascii="Calibri" w:cs="Calibri" w:eastAsia="Calibri" w:hAnsi="Calibri"/>
          <w:b/>
          <w:bCs/>
          <w:i w:val="false"/>
          <w:iCs w:val="false"/>
          <w:color w:val="1A1A1A"/>
          <w:sz w:val="22"/>
          <w:szCs w:val="22"/>
        </w:rPr>
        <w:t xml:space="preserve">(B) </w:t>
      </w:r>
      <w:r>
        <w:rPr>
          <w:rFonts w:ascii="Calibri" w:cs="Calibri" w:eastAsia="Calibri" w:hAnsi="Calibri"/>
          <w:b w:val="false"/>
          <w:bCs w:val="false"/>
          <w:i w:val="false"/>
          <w:iCs w:val="false"/>
          <w:color w:val="1A1A1A"/>
          <w:sz w:val="22"/>
          <w:szCs w:val="22"/>
        </w:rPr>
        <w:t xml:space="preserve">The metric is deformed by exactly one trace term, given the press direction and significance:</w:t>
      </w:r>
    </w:p>
    <w:p>
      <w:pPr>
        <w:pBdr>
          <w:top w:val="none" w:color="FFFFFF" w:sz="0" w:space="0"/>
          <w:left w:val="single" w:color="3A6BA8" w:sz="24" w:space="8"/>
          <w:bottom w:val="none" w:color="FFFFFF" w:sz="0" w:space="0"/>
          <w:right w:val="single" w:color="3A6BA8" w:sz="4" w:space="4"/>
        </w:pBdr>
        <w:shd w:fill="EAF2F8" w:val="clear"/>
        <w:spacing w:after="40" w:before="40" w:line="320"/>
        <w:ind w:left="240" w:right="240"/>
      </w:pPr>
      <w:r>
        <w:rPr>
          <w:rFonts w:ascii="Calibri" w:cs="Calibri" w:eastAsia="Calibri" w:hAnsi="Calibri"/>
          <w:b w:val="false"/>
          <w:bCs w:val="false"/>
          <w:i/>
          <w:iCs/>
          <w:color w:val="1A1A1A"/>
          <w:sz w:val="22"/>
          <w:szCs w:val="22"/>
        </w:rPr>
        <w:t xml:space="preserve">    g_total(f′) = expm( log g_total(f) + S_trace(x, p, s, τ; n_press) ),</w:t>
      </w:r>
    </w:p>
    <w:p>
      <w:pPr>
        <w:pBdr>
          <w:top w:val="none" w:color="FFFFFF" w:sz="0" w:space="0"/>
          <w:left w:val="single" w:color="3A6BA8" w:sz="24" w:space="8"/>
          <w:bottom w:val="single" w:color="3A6BA8" w:sz="4" w:space="4"/>
          <w:right w:val="single" w:color="3A6BA8" w:sz="4" w:space="4"/>
        </w:pBdr>
        <w:shd w:fill="EAF2F8" w:val="clear"/>
        <w:spacing w:after="200" w:before="40" w:line="320"/>
        <w:ind w:left="240" w:right="240"/>
      </w:pPr>
      <w:r>
        <w:rPr>
          <w:rFonts w:ascii="Calibri" w:cs="Calibri" w:eastAsia="Calibri" w:hAnsi="Calibri"/>
          <w:b w:val="false"/>
          <w:bCs w:val="false"/>
          <w:i w:val="false"/>
          <w:iCs w:val="false"/>
          <w:color w:val="1A1A1A"/>
          <w:sz w:val="22"/>
          <w:szCs w:val="22"/>
        </w:rPr>
        <w:t xml:space="preserve">where S_trace(x, p, s, τ; n) = s · K(x, p, σ) · exp(−τ/λ) · (−n ⊗ n) and n is the (output-side) eigenmode-projected direction derived from ε, not pre-assigned in Π.</w:t>
      </w:r>
    </w:p>
    <w:p>
      <w:pPr>
        <w:spacing w:after="80" w:before="80" w:line="320"/>
        <w:jc w:val="left"/>
      </w:pPr>
      <w:r>
        <w:rPr>
          <w:rFonts w:ascii="Calibri" w:cs="Calibri" w:eastAsia="Calibri" w:hAnsi="Calibri"/>
          <w:b w:val="false"/>
          <w:bCs w:val="false"/>
          <w:i w:val="false"/>
          <w:iCs w:val="false"/>
          <w:color w:val="1A1A1A"/>
          <w:sz w:val="22"/>
          <w:szCs w:val="22"/>
        </w:rPr>
        <w:t xml:space="preserve">Established by: the trace deposition rule of C-1 and the encounter history formulation of the Robertson-grounded paper. The form (−n ⊗ n) is rank-1 and negative-semidefinite, ensuring positive-definiteness of g_total is preserved (P1).</w:t>
      </w:r>
    </w:p>
    <w:p>
      <w:pPr>
        <w:spacing w:after="160" w:before="100" w:line="300"/>
        <w:ind w:left="360"/>
        <w:jc w:val="left"/>
      </w:pPr>
      <w:r>
        <w:rPr>
          <w:rFonts w:ascii="Calibri" w:cs="Calibri" w:eastAsia="Calibri" w:hAnsi="Calibri"/>
          <w:i/>
          <w:iCs/>
          <w:color w:val="5A5A5A"/>
          <w:sz w:val="20"/>
          <w:szCs w:val="20"/>
        </w:rPr>
        <w:t xml:space="preserve">Failure mode if (B) is removed: the metric updates by some rule other than the trace-deposition rule. The transition is no longer encounter-shaped — it is either externally imposed (theorist-encoding) or internally generated without genuine alterity. Both are mithveld at the metric level.</w:t>
      </w:r>
    </w:p>
    <w:p>
      <w:pPr>
        <w:pStyle w:val="Heading2"/>
        <w:spacing w:after="140" w:before="320"/>
      </w:pPr>
      <w:r>
        <w:rPr>
          <w:rFonts w:ascii="Cambria" w:cs="Cambria" w:eastAsia="Cambria" w:hAnsi="Cambria"/>
          <w:b/>
          <w:bCs/>
          <w:color w:val="0F1F3D"/>
          <w:sz w:val="28"/>
          <w:szCs w:val="28"/>
        </w:rPr>
        <w:t xml:space="preserve">3.3 Clause C — Sub-Riemannian Horizontal Reachability</w:t>
      </w:r>
    </w:p>
    <w:p>
      <w:pPr>
        <w:pBdr>
          <w:top w:val="single" w:color="3A6BA8" w:sz="4" w:space="4"/>
          <w:left w:val="single" w:color="3A6BA8" w:sz="24" w:space="8"/>
          <w:bottom w:val="none" w:color="FFFFFF" w:sz="0" w:space="0"/>
          <w:right w:val="single" w:color="3A6BA8" w:sz="4" w:space="4"/>
        </w:pBdr>
        <w:shd w:fill="EAF2F8" w:val="clear"/>
        <w:spacing w:after="40" w:before="200" w:line="320"/>
        <w:ind w:left="240" w:right="240"/>
      </w:pPr>
      <w:r>
        <w:rPr>
          <w:rFonts w:ascii="Calibri" w:cs="Calibri" w:eastAsia="Calibri" w:hAnsi="Calibri"/>
          <w:b/>
          <w:bCs/>
          <w:i w:val="false"/>
          <w:iCs w:val="false"/>
          <w:color w:val="1A1A1A"/>
          <w:sz w:val="22"/>
          <w:szCs w:val="22"/>
        </w:rPr>
        <w:t xml:space="preserve">(C) </w:t>
      </w:r>
      <w:r>
        <w:rPr>
          <w:rFonts w:ascii="Calibri" w:cs="Calibri" w:eastAsia="Calibri" w:hAnsi="Calibri"/>
          <w:b w:val="false"/>
          <w:bCs w:val="false"/>
          <w:i w:val="false"/>
          <w:iCs w:val="false"/>
          <w:color w:val="1A1A1A"/>
          <w:sz w:val="22"/>
          <w:szCs w:val="22"/>
        </w:rPr>
        <w:t xml:space="preserve">The transition x(f) ↦ x(f′) is a horizontal path in the Engel distribution (M⁵, D⁴, g_total | D⁴), with V_E access permitted only through bracket escape:</w:t>
      </w:r>
    </w:p>
    <w:p>
      <w:pPr>
        <w:pBdr>
          <w:top w:val="none" w:color="FFFFFF" w:sz="0" w:space="0"/>
          <w:left w:val="single" w:color="3A6BA8" w:sz="24" w:space="8"/>
          <w:bottom w:val="none" w:color="FFFFFF" w:sz="0" w:space="0"/>
          <w:right w:val="single" w:color="3A6BA8" w:sz="4" w:space="4"/>
        </w:pBdr>
        <w:shd w:fill="EAF2F8" w:val="clear"/>
        <w:spacing w:after="40" w:before="40" w:line="320"/>
        <w:ind w:left="240" w:right="240"/>
      </w:pPr>
      <w:r>
        <w:rPr>
          <w:rFonts w:ascii="Calibri" w:cs="Calibri" w:eastAsia="Calibri" w:hAnsi="Calibri"/>
          <w:b w:val="false"/>
          <w:bCs w:val="false"/>
          <w:i/>
          <w:iCs/>
          <w:color w:val="1A1A1A"/>
          <w:sz w:val="22"/>
          <w:szCs w:val="22"/>
        </w:rPr>
        <w:t xml:space="preserve">    ẋ ∈ D⁴ for all interior segments,</w:t>
      </w:r>
    </w:p>
    <w:p>
      <w:pPr>
        <w:pBdr>
          <w:top w:val="none" w:color="FFFFFF" w:sz="0" w:space="0"/>
          <w:left w:val="single" w:color="3A6BA8" w:sz="24" w:space="8"/>
          <w:bottom w:val="single" w:color="3A6BA8" w:sz="4" w:space="4"/>
          <w:right w:val="single" w:color="3A6BA8" w:sz="4" w:space="4"/>
        </w:pBdr>
        <w:shd w:fill="EAF2F8" w:val="clear"/>
        <w:spacing w:after="200" w:before="40" w:line="320"/>
        <w:ind w:left="240" w:right="240"/>
      </w:pPr>
      <w:r>
        <w:rPr>
          <w:rFonts w:ascii="Calibri" w:cs="Calibri" w:eastAsia="Calibri" w:hAnsi="Calibri"/>
          <w:b w:val="false"/>
          <w:bCs w:val="false"/>
          <w:i/>
          <w:iCs/>
          <w:color w:val="1A1A1A"/>
          <w:sz w:val="22"/>
          <w:szCs w:val="22"/>
        </w:rPr>
        <w:t xml:space="preserve">    V_E component of (x(f′) − x(f)) ≠ 0  ⇒  ε activates v_E via [D⁴, D⁴].</w:t>
      </w:r>
    </w:p>
    <w:p>
      <w:pPr>
        <w:spacing w:after="80" w:before="80" w:line="320"/>
        <w:jc w:val="left"/>
      </w:pPr>
      <w:r>
        <w:rPr>
          <w:rFonts w:ascii="Calibri" w:cs="Calibri" w:eastAsia="Calibri" w:hAnsi="Calibri"/>
          <w:b w:val="false"/>
          <w:bCs w:val="false"/>
          <w:i w:val="false"/>
          <w:iCs w:val="false"/>
          <w:color w:val="1A1A1A"/>
          <w:sz w:val="22"/>
          <w:szCs w:val="22"/>
        </w:rPr>
        <w:t xml:space="preserve">Established by: G-3/M3 (Global Bracket-Generating, [D⁴, D⁴] = TM⁵), G-2 (Marginal Eigenmode Uniqueness), and Construction 6 (saddle structure with λ_E ≈ 0). Endogenous motion (ves-koral) is admissible within D⁴; exit-direction motion (ath-koral) is admissible only through encounter-driven bracket escape, which by Construction 6 requires external press.</w:t>
      </w:r>
    </w:p>
    <w:p>
      <w:pPr>
        <w:spacing w:after="160" w:before="100" w:line="300"/>
        <w:ind w:left="360"/>
        <w:jc w:val="left"/>
      </w:pPr>
      <w:r>
        <w:rPr>
          <w:rFonts w:ascii="Calibri" w:cs="Calibri" w:eastAsia="Calibri" w:hAnsi="Calibri"/>
          <w:i/>
          <w:iCs/>
          <w:color w:val="5A5A5A"/>
          <w:sz w:val="20"/>
          <w:szCs w:val="20"/>
        </w:rPr>
        <w:t xml:space="preserve">Failure mode if (C) is removed: the transition leaves the geometry. The new state is not reachable from the prior state by any horizontal-or-bracket path. This is ungrounded replacement — the “unrelated replacement” case ChatGPT correctly named, here given a precise sub-Riemannian definition.</w:t>
      </w:r>
    </w:p>
    <w:p>
      <w:pPr>
        <w:pStyle w:val="Heading2"/>
        <w:spacing w:after="140" w:before="320"/>
      </w:pPr>
      <w:r>
        <w:rPr>
          <w:rFonts w:ascii="Cambria" w:cs="Cambria" w:eastAsia="Cambria" w:hAnsi="Cambria"/>
          <w:b/>
          <w:bCs/>
          <w:color w:val="0F1F3D"/>
          <w:sz w:val="28"/>
          <w:szCs w:val="28"/>
        </w:rPr>
        <w:t xml:space="preserve">3.4 Clause D — Ghost Floor (Irreversibility)</w:t>
      </w:r>
    </w:p>
    <w:p>
      <w:pPr>
        <w:pBdr>
          <w:top w:val="single" w:color="3A6BA8" w:sz="4" w:space="4"/>
          <w:left w:val="single" w:color="3A6BA8" w:sz="24" w:space="8"/>
          <w:bottom w:val="none" w:color="FFFFFF" w:sz="0" w:space="0"/>
          <w:right w:val="single" w:color="3A6BA8" w:sz="4" w:space="4"/>
        </w:pBdr>
        <w:shd w:fill="EAF2F8" w:val="clear"/>
        <w:spacing w:after="40" w:before="200" w:line="320"/>
        <w:ind w:left="240" w:right="240"/>
      </w:pPr>
      <w:r>
        <w:rPr>
          <w:rFonts w:ascii="Calibri" w:cs="Calibri" w:eastAsia="Calibri" w:hAnsi="Calibri"/>
          <w:b/>
          <w:bCs/>
          <w:i w:val="false"/>
          <w:iCs w:val="false"/>
          <w:color w:val="1A1A1A"/>
          <w:sz w:val="22"/>
          <w:szCs w:val="22"/>
        </w:rPr>
        <w:t xml:space="preserve">(D) </w:t>
      </w:r>
      <w:r>
        <w:rPr>
          <w:rFonts w:ascii="Calibri" w:cs="Calibri" w:eastAsia="Calibri" w:hAnsi="Calibri"/>
          <w:b w:val="false"/>
          <w:bCs w:val="false"/>
          <w:i w:val="false"/>
          <w:iCs w:val="false"/>
          <w:color w:val="1A1A1A"/>
          <w:sz w:val="22"/>
          <w:szCs w:val="22"/>
        </w:rPr>
        <w:t xml:space="preserve">The deposited trace is bounded below the ghost floor in the long-time limit:</w:t>
      </w:r>
    </w:p>
    <w:p>
      <w:pPr>
        <w:pBdr>
          <w:top w:val="none" w:color="FFFFFF" w:sz="0" w:space="0"/>
          <w:left w:val="single" w:color="3A6BA8" w:sz="24" w:space="8"/>
          <w:bottom w:val="none" w:color="FFFFFF" w:sz="0" w:space="0"/>
          <w:right w:val="single" w:color="3A6BA8" w:sz="4" w:space="4"/>
        </w:pBdr>
        <w:shd w:fill="EAF2F8" w:val="clear"/>
        <w:spacing w:after="40" w:before="40" w:line="320"/>
        <w:ind w:left="240" w:right="240"/>
      </w:pPr>
      <w:r>
        <w:rPr>
          <w:rFonts w:ascii="Calibri" w:cs="Calibri" w:eastAsia="Calibri" w:hAnsi="Calibri"/>
          <w:b w:val="false"/>
          <w:bCs w:val="false"/>
          <w:i/>
          <w:iCs/>
          <w:color w:val="1A1A1A"/>
          <w:sz w:val="22"/>
          <w:szCs w:val="22"/>
        </w:rPr>
        <w:t xml:space="preserve">    lim_{t→∞}  s · exp(−τ/λ)  ≥  r*  &gt;  0   for s ≥ s_deposit,</w:t>
      </w:r>
    </w:p>
    <w:p>
      <w:pPr>
        <w:pBdr>
          <w:top w:val="none" w:color="FFFFFF" w:sz="0" w:space="0"/>
          <w:left w:val="single" w:color="3A6BA8" w:sz="24" w:space="8"/>
          <w:bottom w:val="single" w:color="3A6BA8" w:sz="4" w:space="4"/>
          <w:right w:val="single" w:color="3A6BA8" w:sz="4" w:space="4"/>
        </w:pBdr>
        <w:shd w:fill="EAF2F8" w:val="clear"/>
        <w:spacing w:after="200" w:before="40" w:line="320"/>
        <w:ind w:left="240" w:right="240"/>
      </w:pPr>
      <w:r>
        <w:rPr>
          <w:rFonts w:ascii="Calibri" w:cs="Calibri" w:eastAsia="Calibri" w:hAnsi="Calibri"/>
          <w:b w:val="false"/>
          <w:bCs w:val="false"/>
          <w:i w:val="false"/>
          <w:iCs w:val="false"/>
          <w:color w:val="1A1A1A"/>
          <w:sz w:val="22"/>
          <w:szCs w:val="22"/>
        </w:rPr>
        <w:t xml:space="preserve">with r* = kT · 2^{2/(d−1)} / β the Landauer-grounded thermodynamic floor (ādhāveld).</w:t>
      </w:r>
    </w:p>
    <w:p>
      <w:pPr>
        <w:spacing w:after="80" w:before="80" w:line="320"/>
        <w:jc w:val="left"/>
      </w:pPr>
      <w:r>
        <w:rPr>
          <w:rFonts w:ascii="Calibri" w:cs="Calibri" w:eastAsia="Calibri" w:hAnsi="Calibri"/>
          <w:b w:val="false"/>
          <w:bCs w:val="false"/>
          <w:i w:val="false"/>
          <w:iCs w:val="false"/>
          <w:color w:val="1A1A1A"/>
          <w:sz w:val="22"/>
          <w:szCs w:val="22"/>
        </w:rPr>
        <w:t xml:space="preserve">Established by: C-1 (Ghost Floor Theorem) and the Landauer-cost argument. Erasing a trace below r* would require energy exceeding the system’s internal forcing capacity C_int(T). The deposited deformation is therefore architecturally irreversible — hasveld in formal terms.</w:t>
      </w:r>
    </w:p>
    <w:p>
      <w:pPr>
        <w:spacing w:after="160" w:before="100" w:line="300"/>
        <w:ind w:left="360"/>
        <w:jc w:val="left"/>
      </w:pPr>
      <w:r>
        <w:rPr>
          <w:rFonts w:ascii="Calibri" w:cs="Calibri" w:eastAsia="Calibri" w:hAnsi="Calibri"/>
          <w:i/>
          <w:iCs/>
          <w:color w:val="5A5A5A"/>
          <w:sz w:val="20"/>
          <w:szCs w:val="20"/>
        </w:rPr>
        <w:t xml:space="preserve">Failure mode if (D) is removed: traces can be erased to zero. The deformation is undone; the new state is not generatively related to the prior state because the prior state can be reconstructed by erasure. This collapses the temporal asymmetry the architecture rests on.</w:t>
      </w:r>
    </w:p>
    <w:p>
      <w:pPr>
        <w:pStyle w:val="Heading2"/>
        <w:spacing w:after="140" w:before="320"/>
      </w:pPr>
      <w:r>
        <w:rPr>
          <w:rFonts w:ascii="Cambria" w:cs="Cambria" w:eastAsia="Cambria" w:hAnsi="Cambria"/>
          <w:b/>
          <w:bCs/>
          <w:color w:val="0F1F3D"/>
          <w:sz w:val="28"/>
          <w:szCs w:val="28"/>
        </w:rPr>
        <w:t xml:space="preserve">3.5 Clause E* — SA6-Preservation Across the Sequence</w:t>
      </w:r>
    </w:p>
    <w:p>
      <w:pPr>
        <w:pBdr>
          <w:top w:val="single" w:color="3A6BA8" w:sz="4" w:space="4"/>
          <w:left w:val="single" w:color="3A6BA8" w:sz="24" w:space="8"/>
          <w:bottom w:val="none" w:color="FFFFFF" w:sz="0" w:space="0"/>
          <w:right w:val="single" w:color="3A6BA8" w:sz="4" w:space="4"/>
        </w:pBdr>
        <w:shd w:fill="EAF2F8" w:val="clear"/>
        <w:spacing w:after="40" w:before="200" w:line="320"/>
        <w:ind w:left="240" w:right="240"/>
      </w:pPr>
      <w:r>
        <w:rPr>
          <w:rFonts w:ascii="Calibri" w:cs="Calibri" w:eastAsia="Calibri" w:hAnsi="Calibri"/>
          <w:b/>
          <w:bCs/>
          <w:i w:val="false"/>
          <w:iCs w:val="false"/>
          <w:color w:val="1A1A1A"/>
          <w:sz w:val="22"/>
          <w:szCs w:val="22"/>
        </w:rPr>
        <w:t xml:space="preserve">(E*) </w:t>
      </w:r>
      <w:r>
        <w:rPr>
          <w:rFonts w:ascii="Calibri" w:cs="Calibri" w:eastAsia="Calibri" w:hAnsi="Calibri"/>
          <w:b w:val="false"/>
          <w:bCs w:val="false"/>
          <w:i w:val="false"/>
          <w:iCs w:val="false"/>
          <w:color w:val="1A1A1A"/>
          <w:sz w:val="22"/>
          <w:szCs w:val="22"/>
        </w:rPr>
        <w:t xml:space="preserve">Across an admissible sequence (E_{ε_n, K_n})_{n=1..N}, the multi-R* configuration at step N satisfies the SA6 coupling condition with the configuration at step 0:</w:t>
      </w:r>
    </w:p>
    <w:p>
      <w:pPr>
        <w:pBdr>
          <w:top w:val="none" w:color="FFFFFF" w:sz="0" w:space="0"/>
          <w:left w:val="single" w:color="3A6BA8" w:sz="24" w:space="8"/>
          <w:bottom w:val="none" w:color="FFFFFF" w:sz="0" w:space="0"/>
          <w:right w:val="single" w:color="3A6BA8" w:sz="4" w:space="4"/>
        </w:pBdr>
        <w:shd w:fill="EAF2F8" w:val="clear"/>
        <w:spacing w:after="40" w:before="40" w:line="320"/>
        <w:ind w:left="240" w:right="240"/>
      </w:pPr>
      <w:r>
        <w:rPr>
          <w:rFonts w:ascii="Calibri" w:cs="Calibri" w:eastAsia="Calibri" w:hAnsi="Calibri"/>
          <w:b w:val="false"/>
          <w:bCs w:val="false"/>
          <w:i/>
          <w:iCs/>
          <w:color w:val="1A1A1A"/>
          <w:sz w:val="22"/>
          <w:szCs w:val="22"/>
        </w:rPr>
        <w:t xml:space="preserve">    ‖R*_i(N) − R*_j(0)‖_{g(N)}  &lt;  (r_i(N) + r_j(0)) / 2</w:t>
      </w:r>
    </w:p>
    <w:p>
      <w:pPr>
        <w:pBdr>
          <w:top w:val="none" w:color="FFFFFF" w:sz="0" w:space="0"/>
          <w:left w:val="single" w:color="3A6BA8" w:sz="24" w:space="8"/>
          <w:bottom w:val="single" w:color="3A6BA8" w:sz="4" w:space="4"/>
          <w:right w:val="single" w:color="3A6BA8" w:sz="4" w:space="4"/>
        </w:pBdr>
        <w:shd w:fill="EAF2F8" w:val="clear"/>
        <w:spacing w:after="200" w:before="40" w:line="320"/>
        <w:ind w:left="240" w:right="240"/>
      </w:pPr>
      <w:r>
        <w:rPr>
          <w:rFonts w:ascii="Calibri" w:cs="Calibri" w:eastAsia="Calibri" w:hAnsi="Calibri"/>
          <w:b w:val="false"/>
          <w:bCs w:val="false"/>
          <w:i w:val="false"/>
          <w:iCs w:val="false"/>
          <w:color w:val="1A1A1A"/>
          <w:sz w:val="22"/>
          <w:szCs w:val="22"/>
        </w:rPr>
        <w:t xml:space="preserve">for every pair (i, j) coupled at step 0, unless coupling has been formally severed by an admissible step.</w:t>
      </w:r>
    </w:p>
    <w:p>
      <w:pPr>
        <w:spacing w:after="80" w:before="80" w:line="320"/>
        <w:jc w:val="left"/>
      </w:pPr>
      <w:r>
        <w:rPr>
          <w:rFonts w:ascii="Calibri" w:cs="Calibri" w:eastAsia="Calibri" w:hAnsi="Calibri"/>
          <w:b w:val="false"/>
          <w:bCs w:val="false"/>
          <w:i w:val="false"/>
          <w:iCs w:val="false"/>
          <w:color w:val="1A1A1A"/>
          <w:sz w:val="22"/>
          <w:szCs w:val="22"/>
        </w:rPr>
        <w:t xml:space="preserve">Established by: SA6 (multi-R* coupling) and the basin geometry of the multi-R* architecture. Clauses (A)–(D) are step-level conditions — they hold or fail per single transition. (E*) is the only sequence-level condition: it speaks about the relation between the configuration after N steps and the configuration before any step, holding all the multi-R*_i basins jointly accountable to their starting positions.</w:t>
      </w:r>
    </w:p>
    <w:p>
      <w:pPr>
        <w:spacing w:after="160" w:before="100" w:line="300"/>
        <w:ind w:left="360"/>
        <w:jc w:val="left"/>
      </w:pPr>
      <w:r>
        <w:rPr>
          <w:rFonts w:ascii="Calibri" w:cs="Calibri" w:eastAsia="Calibri" w:hAnsi="Calibri"/>
          <w:i/>
          <w:iCs/>
          <w:color w:val="5A5A5A"/>
          <w:sz w:val="20"/>
          <w:szCs w:val="20"/>
        </w:rPr>
        <w:t xml:space="preserve">Failure mode if (E*) is removed: the system at step N satisfies (A)–(D) at every step but is no longer SA6-coupled to its prior configuration. The successor is operating fine — each step admissible — but it is not the same multi-R* system that began the sequence. This is identity-as-coupling loss without a licensed transition step.</w:t>
      </w:r>
    </w:p>
    <w:p>
      <w:pPr>
        <w:pStyle w:val="Heading3"/>
        <w:spacing w:after="100" w:before="240"/>
      </w:pPr>
      <w:r>
        <w:rPr>
          <w:rFonts w:ascii="Cambria" w:cs="Cambria" w:eastAsia="Cambria" w:hAnsi="Cambria"/>
          <w:b/>
          <w:bCs/>
          <w:color w:val="1A2A4A"/>
          <w:sz w:val="24"/>
          <w:szCs w:val="24"/>
        </w:rPr>
        <w:t xml:space="preserve">Corollary (E_diff): Diffusive Drift Bound</w:t>
      </w:r>
    </w:p>
    <w:p>
      <w:pPr>
        <w:spacing w:after="80" w:before="80" w:line="320"/>
        <w:jc w:val="left"/>
      </w:pPr>
      <w:r>
        <w:rPr>
          <w:rFonts w:ascii="Calibri" w:cs="Calibri" w:eastAsia="Calibri" w:hAnsi="Calibri"/>
          <w:b w:val="false"/>
          <w:bCs w:val="false"/>
          <w:i w:val="false"/>
          <w:iCs w:val="false"/>
          <w:color w:val="1A1A1A"/>
          <w:sz w:val="22"/>
          <w:szCs w:val="22"/>
        </w:rPr>
        <w:t xml:space="preserve">Under generic press-stream statistics (independent direction draws with bounded second moment), (E*) implies the diffusive bound d_g(R*(N), R*(0)) ≤ c · √N · ρ(R*(0)) for some c &gt; 0. The bound is sufficient for SA6-preservation but not necessary: drift patterns that are technically super-diffusive but oscillatory and remain inside the SA6 coupling radius also satisfy (E*). The drift bound is therefore a corollary, not the clause itself.</w:t>
      </w:r>
    </w:p>
    <w:p>
      <w:pPr>
        <w:pStyle w:val="Heading3"/>
        <w:spacing w:after="100" w:before="240"/>
      </w:pPr>
      <w:r>
        <w:rPr>
          <w:rFonts w:ascii="Cambria" w:cs="Cambria" w:eastAsia="Cambria" w:hAnsi="Cambria"/>
          <w:b/>
          <w:bCs/>
          <w:color w:val="1A2A4A"/>
          <w:sz w:val="24"/>
          <w:szCs w:val="24"/>
        </w:rPr>
        <w:t xml:space="preserve">Provenance of (E*) — the adversarial probe</w:t>
      </w:r>
    </w:p>
    <w:p>
      <w:pPr>
        <w:spacing w:after="80" w:before="80" w:line="320"/>
        <w:jc w:val="left"/>
      </w:pPr>
      <w:r>
        <w:rPr>
          <w:rFonts w:ascii="Calibri" w:cs="Calibri" w:eastAsia="Calibri" w:hAnsi="Calibri"/>
          <w:b w:val="false"/>
          <w:bCs w:val="false"/>
          <w:i w:val="false"/>
          <w:iCs w:val="false"/>
          <w:color w:val="1A1A1A"/>
          <w:sz w:val="22"/>
          <w:szCs w:val="22"/>
        </w:rPr>
        <w:t xml:space="preserve">Result D-1 was originally stated with (E) as the diffusive-drift bound. A probe constructed before promotion attempted to build sequences satisfying (A)–(D) while violating diffusive drift. Two cases were tested.</w:t>
      </w:r>
    </w:p>
    <w:p>
      <w:pPr>
        <w:spacing w:after="80" w:before="80" w:line="320"/>
        <w:jc w:val="left"/>
      </w:pPr>
      <w:r>
        <w:rPr>
          <w:rFonts w:ascii="Calibri" w:cs="Calibri" w:eastAsia="Calibri" w:hAnsi="Calibri"/>
          <w:b/>
          <w:bCs/>
          <w:i w:val="false"/>
          <w:iCs w:val="false"/>
          <w:color w:val="1A1A1A"/>
          <w:sz w:val="22"/>
          <w:szCs w:val="22"/>
        </w:rPr>
        <w:t xml:space="preserve">Case 1 — repeated identical-direction press. </w:t>
      </w:r>
      <w:r>
        <w:rPr>
          <w:rFonts w:ascii="Calibri" w:cs="Calibri" w:eastAsia="Calibri" w:hAnsi="Calibri"/>
          <w:b w:val="false"/>
          <w:bCs w:val="false"/>
          <w:i w:val="false"/>
          <w:iCs w:val="false"/>
          <w:color w:val="1A1A1A"/>
          <w:sz w:val="22"/>
          <w:szCs w:val="22"/>
        </w:rPr>
        <w:t xml:space="preserve">A sequence of presses (ε_n) with n_n = n* fixed for all n. Each individual press satisfies (A)–(D) at small n. As n grows, the cumulative trace in direction n* deepens the local well: by Lemma 3.1 of the trace-potential analysis, det(g_total) decreases monotonically in the n* well, and by the Hessian-resistance lemma, the chùveld threshold s_deposit at the deposition point grows with prior accumulation. The required s_n to maintain (A) grows monotonically. By the R₁ overwhelm hard-block at magnitude &gt; 1.5 (April 17 architectural correction), s_n cannot grow without bound. Therefore there exists N* such that for n &gt; N*, either s_n &lt; s_deposit (so (A) fails — sub-threshold contact) or the press magnitude exceeds R₁'s admissibility ceiling (so (B) fails — no trace deposited). Repeated identical-direction presses cannot satisfy (A)–(D) indefinitely. This case does not produce ballistic drift.</w:t>
      </w:r>
    </w:p>
    <w:p>
      <w:pPr>
        <w:spacing w:after="80" w:before="80" w:line="320"/>
        <w:jc w:val="left"/>
      </w:pPr>
      <w:r>
        <w:rPr>
          <w:rFonts w:ascii="Calibri" w:cs="Calibri" w:eastAsia="Calibri" w:hAnsi="Calibri"/>
          <w:b/>
          <w:bCs/>
          <w:i w:val="false"/>
          <w:iCs w:val="false"/>
          <w:color w:val="1A1A1A"/>
          <w:sz w:val="22"/>
          <w:szCs w:val="22"/>
        </w:rPr>
        <w:t xml:space="preserve">Case 2 — near-identical-direction press. </w:t>
      </w:r>
      <w:r>
        <w:rPr>
          <w:rFonts w:ascii="Calibri" w:cs="Calibri" w:eastAsia="Calibri" w:hAnsi="Calibri"/>
          <w:b w:val="false"/>
          <w:bCs w:val="false"/>
          <w:i w:val="false"/>
          <w:iCs w:val="false"/>
          <w:color w:val="1A1A1A"/>
          <w:sz w:val="22"/>
          <w:szCs w:val="22"/>
        </w:rPr>
        <w:t xml:space="preserve">A sequence with n_n = n* + δ_n where δ_n is small directional noise. The traces are spatially spread but directionally aligned. The Hessian-resistance argument from Case 1 weakens because the well does not concentrate at one point. Inside a range of δ_n, (A)–(D) hold for arbitrarily long sequences, and R* drifts coherently in the n* direction with cumulative shift growing linearly in N. Ballistic drift is achieved while (A)–(D) hold.</w:t>
      </w:r>
    </w:p>
    <w:p>
      <w:pPr>
        <w:spacing w:after="80" w:before="80" w:line="320"/>
        <w:jc w:val="left"/>
      </w:pPr>
      <w:r>
        <w:rPr>
          <w:rFonts w:ascii="Calibri" w:cs="Calibri" w:eastAsia="Calibri" w:hAnsi="Calibri"/>
          <w:b/>
          <w:bCs/>
          <w:i w:val="false"/>
          <w:iCs w:val="false"/>
          <w:color w:val="1A1A1A"/>
          <w:sz w:val="22"/>
          <w:szCs w:val="22"/>
        </w:rPr>
        <w:t xml:space="preserve">What Case 2 violates. </w:t>
      </w:r>
      <w:r>
        <w:rPr>
          <w:rFonts w:ascii="Calibri" w:cs="Calibri" w:eastAsia="Calibri" w:hAnsi="Calibri"/>
          <w:b w:val="false"/>
          <w:bCs w:val="false"/>
          <w:i w:val="false"/>
          <w:iCs w:val="false"/>
          <w:color w:val="1A1A1A"/>
          <w:sz w:val="22"/>
          <w:szCs w:val="22"/>
        </w:rPr>
        <w:t xml:space="preserve">With ‖R*(N) − R*(0)‖_{g(N)} growing linearly and basin radii bounded, the SA6 coupling condition is silently violated at some N**: R*(N**) and R*(0) are no longer SA6-coupled, but no admissible step formally severed them. The multi-R* configuration at step N** is operating, but it is not coupled to the configuration at step 0 in the way SA6 requires — identity-as-coupling has been lost without licensed transition. This is the precise structural failure (E*) is designed to forbid.</w:t>
      </w:r>
    </w:p>
    <w:p>
      <w:pPr>
        <w:spacing w:after="80" w:before="80" w:line="320"/>
        <w:jc w:val="left"/>
      </w:pPr>
      <w:r>
        <w:rPr>
          <w:rFonts w:ascii="Calibri" w:cs="Calibri" w:eastAsia="Calibri" w:hAnsi="Calibri"/>
          <w:b w:val="false"/>
          <w:bCs w:val="false"/>
          <w:i w:val="false"/>
          <w:iCs w:val="false"/>
          <w:color w:val="1A1A1A"/>
          <w:sz w:val="22"/>
          <w:szCs w:val="22"/>
        </w:rPr>
        <w:t xml:space="preserve">The probe established two facts. First, (A)–(D) do not jointly enforce sequence-level coherence. Second, the sequence-level coherence that matters is SA6-preservation, not drift-rate. (E*) is therefore the structurally correct sequence-level clause; (E_diff) — the original (E) — is one corollary among several.</w:t>
      </w:r>
    </w:p>
    <w:p>
      <w:r>
        <w:br w:type="page"/>
      </w:r>
    </w:p>
    <w:p>
      <w:pPr>
        <w:pStyle w:val="Heading1"/>
        <w:pBdr>
          <w:bottom w:val="single" w:color="0F1F3D" w:sz="8" w:space="4"/>
        </w:pBdr>
        <w:spacing w:after="200" w:before="480"/>
      </w:pPr>
      <w:r>
        <w:rPr>
          <w:rFonts w:ascii="Cambria" w:cs="Cambria" w:eastAsia="Cambria" w:hAnsi="Cambria"/>
          <w:b/>
          <w:bCs/>
          <w:color w:val="0F1F3D"/>
          <w:sz w:val="36"/>
          <w:szCs w:val="36"/>
        </w:rPr>
        <w:t xml:space="preserve">4. Result D-1: Definition of Encounter-Admissible Deformation</w:t>
      </w:r>
    </w:p>
    <w:p>
      <w:pPr>
        <w:pBdr>
          <w:top w:val="single" w:color="8B7E5A" w:sz="4" w:space="4"/>
          <w:left w:val="single" w:color="8B7E5A" w:sz="24" w:space="8"/>
          <w:bottom w:val="none" w:color="FFFFFF" w:sz="0" w:space="0"/>
          <w:right w:val="single" w:color="8B7E5A" w:sz="4" w:space="4"/>
        </w:pBdr>
        <w:shd w:fill="F4F1E8" w:val="clear"/>
        <w:spacing w:after="40" w:before="200" w:line="320"/>
        <w:ind w:left="240" w:right="240"/>
      </w:pPr>
      <w:r>
        <w:rPr>
          <w:rFonts w:ascii="Calibri" w:cs="Calibri" w:eastAsia="Calibri" w:hAnsi="Calibri"/>
          <w:b/>
          <w:bCs/>
          <w:i w:val="false"/>
          <w:iCs w:val="false"/>
          <w:color w:val="1A1A1A"/>
          <w:sz w:val="22"/>
          <w:szCs w:val="22"/>
        </w:rPr>
        <w:t xml:space="preserve">Result D-1 (Definition).  </w:t>
      </w:r>
      <w:r>
        <w:rPr>
          <w:rFonts w:ascii="Calibri" w:cs="Calibri" w:eastAsia="Calibri" w:hAnsi="Calibri"/>
          <w:b w:val="false"/>
          <w:bCs w:val="false"/>
          <w:i w:val="false"/>
          <w:iCs w:val="false"/>
          <w:color w:val="1A1A1A"/>
          <w:sz w:val="22"/>
          <w:szCs w:val="22"/>
        </w:rPr>
        <w:t xml:space="preserve">A transition (f, ε, K) ↦ f′ in the encounter process is an encounter-admissible deformation iff Clauses (A)–(D) hold.</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val="false"/>
          <w:iCs w:val="false"/>
          <w:color w:val="1A1A1A"/>
          <w:sz w:val="22"/>
          <w:szCs w:val="22"/>
        </w:rPr>
        <w:t xml:space="preserve"> </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iCs/>
          <w:color w:val="1A1A1A"/>
          <w:sz w:val="22"/>
          <w:szCs w:val="22"/>
        </w:rPr>
        <w:t xml:space="preserve">A sequence (E_{ε_n, K_n})_{n=1..N} is admissible iff each step satisfies (A)–(D) individually and the sequence as a whole satisfies (E*) — SA6-preservation between the configuration at step N and the configuration at step 0.</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val="false"/>
          <w:iCs w:val="false"/>
          <w:color w:val="1A1A1A"/>
          <w:sz w:val="22"/>
          <w:szCs w:val="22"/>
        </w:rPr>
        <w:t xml:space="preserve"> </w:t>
      </w:r>
    </w:p>
    <w:p>
      <w:pPr>
        <w:pBdr>
          <w:top w:val="none" w:color="FFFFFF" w:sz="0" w:space="0"/>
          <w:left w:val="single" w:color="8B7E5A" w:sz="24" w:space="8"/>
          <w:bottom w:val="single" w:color="8B7E5A" w:sz="4" w:space="4"/>
          <w:right w:val="single" w:color="8B7E5A" w:sz="4" w:space="4"/>
        </w:pBdr>
        <w:shd w:fill="F4F1E8" w:val="clear"/>
        <w:spacing w:after="200" w:before="40" w:line="320"/>
        <w:ind w:left="240" w:right="240"/>
      </w:pPr>
      <w:r>
        <w:rPr>
          <w:rFonts w:ascii="Calibri" w:cs="Calibri" w:eastAsia="Calibri" w:hAnsi="Calibri"/>
          <w:b w:val="false"/>
          <w:bCs w:val="false"/>
          <w:i w:val="false"/>
          <w:iCs w:val="false"/>
          <w:color w:val="1A1A1A"/>
          <w:sz w:val="22"/>
          <w:szCs w:val="22"/>
        </w:rPr>
        <w:t xml:space="preserve">We write f′ = E[f; ε, K] to denote a single admissible step, and call f and f′ generatively related under encounter. We call a sequence generatively coherent if (E*) holds throughout.</w:t>
      </w:r>
    </w:p>
    <w:p>
      <w:pPr>
        <w:pStyle w:val="Heading2"/>
        <w:spacing w:after="140" w:before="320"/>
      </w:pPr>
      <w:r>
        <w:rPr>
          <w:rFonts w:ascii="Cambria" w:cs="Cambria" w:eastAsia="Cambria" w:hAnsi="Cambria"/>
          <w:b/>
          <w:bCs/>
          <w:color w:val="0F1F3D"/>
          <w:sz w:val="28"/>
          <w:szCs w:val="28"/>
        </w:rPr>
        <w:t xml:space="preserve">4.1 Theorem D-1 (Sufficiency)</w:t>
      </w:r>
    </w:p>
    <w:p>
      <w:pPr>
        <w:spacing w:after="80" w:before="80" w:line="320"/>
        <w:jc w:val="left"/>
      </w:pPr>
      <w:r>
        <w:rPr>
          <w:rFonts w:ascii="Calibri" w:cs="Calibri" w:eastAsia="Calibri" w:hAnsi="Calibri"/>
          <w:b w:val="false"/>
          <w:bCs w:val="false"/>
          <w:i w:val="false"/>
          <w:iCs w:val="false"/>
          <w:color w:val="1A1A1A"/>
          <w:sz w:val="22"/>
          <w:szCs w:val="22"/>
        </w:rPr>
        <w:t xml:space="preserve">Suppose (A)–(D) all hold for a transition (f, ε, K) ↦ f′. Then f′ is a state of the same system as f under a single encounter — that is, f′ is a generative continuation of f within (M⁵, D⁴, g_total). If additionally (E*) holds for a sequence (E_{ε_n, K_n})_{n=1..N}, then f_N is a generative continuation of f_0 across the full sequence.</w:t>
      </w:r>
    </w:p>
    <w:p>
      <w:pPr>
        <w:pStyle w:val="Heading3"/>
        <w:spacing w:after="100" w:before="240"/>
      </w:pPr>
      <w:r>
        <w:rPr>
          <w:rFonts w:ascii="Cambria" w:cs="Cambria" w:eastAsia="Cambria" w:hAnsi="Cambria"/>
          <w:b/>
          <w:bCs/>
          <w:color w:val="1A2A4A"/>
          <w:sz w:val="24"/>
          <w:szCs w:val="24"/>
        </w:rPr>
        <w:t xml:space="preserve">Proof</w:t>
      </w:r>
    </w:p>
    <w:p>
      <w:pPr>
        <w:spacing w:after="80" w:before="80" w:line="320"/>
        <w:jc w:val="left"/>
      </w:pPr>
      <w:r>
        <w:rPr>
          <w:rFonts w:ascii="Calibri" w:cs="Calibri" w:eastAsia="Calibri" w:hAnsi="Calibri"/>
          <w:b w:val="false"/>
          <w:bCs w:val="false"/>
          <w:i w:val="false"/>
          <w:iCs w:val="false"/>
          <w:color w:val="1A1A1A"/>
          <w:sz w:val="22"/>
          <w:szCs w:val="22"/>
        </w:rPr>
        <w:t xml:space="preserve">Step level. By (A), the press carries deposit-threshold significance, so a trace-shaped deformation is licensed. By (B), the new metric g_total(f′) is obtained from g_total(f) by exactly one trace term of the form S_trace(x, p, s, τ; n_press), preserving positive-definiteness (P1) since the rank-1 negative-semidefinite perturbation is added in the log-metric and exponentiated. By (C), the spatial transition x(f) → x(f′) is a horizontal path in (D⁴, g_total|D⁴), with V_E components arising only via bracket escape [D⁴, D⁴] driven by the external press; this is exactly the sub-Riemannian image of encounter-driven motion (G-3/M3, Construction 6, G-2). By (D), the deposited deformation is bounded below the ghost floor and cannot be undone within C_int(T); hasveld is structurally enforced. The trace-deposition rule (B) applied to (f, ε, K) produces g_total(f′) as a measurable function of g_total(f) and the encounter triple (p, s, n) derived from ε and Λ_act. Therefore f′ is by construction the encounter-deformation of f.</w:t>
      </w:r>
    </w:p>
    <w:p>
      <w:pPr>
        <w:spacing w:after="80" w:before="80" w:line="320"/>
        <w:jc w:val="left"/>
      </w:pPr>
      <w:r>
        <w:rPr>
          <w:rFonts w:ascii="Calibri" w:cs="Calibri" w:eastAsia="Calibri" w:hAnsi="Calibri"/>
          <w:b w:val="false"/>
          <w:bCs w:val="false"/>
          <w:i w:val="false"/>
          <w:iCs w:val="false"/>
          <w:color w:val="1A1A1A"/>
          <w:sz w:val="22"/>
          <w:szCs w:val="22"/>
        </w:rPr>
        <w:t xml:space="preserve">Sequence level. Suppose (A)–(D) hold for every step in (E_{ε_n, K_n})_{n=1..N} and (E*) holds at step N. Then for every coupled pair (i, j) at step 0, the configuration at step N satisfies SA6 with the configuration at step 0: ‖R*_i(N) − R*_j(0)‖_{g(N)} &lt; (r_i(N) + r_j(0))/2 unless coupling has been formally severed by some intermediate admissible step. The multi-R* system at step N is therefore SA6-coupled to its starting configuration in exactly the way the architecture requires — generative coherence is preserved across the sequence. ∎</w:t>
      </w:r>
    </w:p>
    <w:p>
      <w:pPr>
        <w:pStyle w:val="Heading2"/>
        <w:spacing w:after="140" w:before="320"/>
      </w:pPr>
      <w:r>
        <w:rPr>
          <w:rFonts w:ascii="Cambria" w:cs="Cambria" w:eastAsia="Cambria" w:hAnsi="Cambria"/>
          <w:b/>
          <w:bCs/>
          <w:color w:val="0F1F3D"/>
          <w:sz w:val="28"/>
          <w:szCs w:val="28"/>
        </w:rPr>
        <w:t xml:space="preserve">4.2 Theorem D-2 (Necessity of Each Clause)</w:t>
      </w:r>
    </w:p>
    <w:p>
      <w:pPr>
        <w:spacing w:after="80" w:before="80" w:line="320"/>
        <w:jc w:val="left"/>
      </w:pPr>
      <w:r>
        <w:rPr>
          <w:rFonts w:ascii="Calibri" w:cs="Calibri" w:eastAsia="Calibri" w:hAnsi="Calibri"/>
          <w:b w:val="false"/>
          <w:bCs w:val="false"/>
          <w:i w:val="false"/>
          <w:iCs w:val="false"/>
          <w:color w:val="1A1A1A"/>
          <w:sz w:val="22"/>
          <w:szCs w:val="22"/>
        </w:rPr>
        <w:t xml:space="preserve">Each clause (A)–(D) and (E*) is necessary: removing any one produces a transition (resp. sequence) that fails to be a generative continuation. The independence of (E*) from (A)–(D) was established by the adversarial probe of §3.5; we record the full clause-by-clause necessity argument here.</w:t>
      </w:r>
    </w:p>
    <w:p>
      <w:pPr>
        <w:pStyle w:val="Heading3"/>
        <w:spacing w:after="100" w:before="240"/>
      </w:pPr>
      <w:r>
        <w:rPr>
          <w:rFonts w:ascii="Cambria" w:cs="Cambria" w:eastAsia="Cambria" w:hAnsi="Cambria"/>
          <w:b/>
          <w:bCs/>
          <w:color w:val="1A2A4A"/>
          <w:sz w:val="24"/>
          <w:szCs w:val="24"/>
        </w:rPr>
        <w:t xml:space="preserve">Proof — clause by clause</w:t>
      </w:r>
    </w:p>
    <w:p>
      <w:pPr>
        <w:spacing w:after="80" w:before="80" w:line="320"/>
        <w:jc w:val="left"/>
      </w:pPr>
      <w:r>
        <w:rPr>
          <w:rFonts w:ascii="Calibri" w:cs="Calibri" w:eastAsia="Calibri" w:hAnsi="Calibri"/>
          <w:b/>
          <w:bCs/>
          <w:i w:val="false"/>
          <w:iCs w:val="false"/>
          <w:color w:val="1A1A1A"/>
          <w:sz w:val="22"/>
          <w:szCs w:val="22"/>
        </w:rPr>
        <w:t xml:space="preserve">(A) Necessity. </w:t>
      </w:r>
      <w:r>
        <w:rPr>
          <w:rFonts w:ascii="Calibri" w:cs="Calibri" w:eastAsia="Calibri" w:hAnsi="Calibri"/>
          <w:b w:val="false"/>
          <w:bCs w:val="false"/>
          <w:i w:val="false"/>
          <w:iCs w:val="false"/>
          <w:color w:val="1A1A1A"/>
          <w:sz w:val="22"/>
          <w:szCs w:val="22"/>
        </w:rPr>
        <w:t xml:space="preserve">Suppose s &lt; s_deposit. Then by C-1 the trace contribution to g_total falls below the ghost floor: lim_{t→∞} s·exp(−τ/λ) &lt; r*, hence the deformation can be erased without exceeding C_int(T). The transition is sparśveld; no persistent metric change occurs and (B), (D) fail in turn. Therefore f and f′ are not generatively related under encounter — they are equal up to a sub-floor perturbation. ∎(A)</w:t>
      </w:r>
    </w:p>
    <w:p>
      <w:pPr>
        <w:spacing w:after="80" w:before="80" w:line="320"/>
        <w:jc w:val="left"/>
      </w:pPr>
      <w:r>
        <w:rPr>
          <w:rFonts w:ascii="Calibri" w:cs="Calibri" w:eastAsia="Calibri" w:hAnsi="Calibri"/>
          <w:b/>
          <w:bCs/>
          <w:i w:val="false"/>
          <w:iCs w:val="false"/>
          <w:color w:val="1A1A1A"/>
          <w:sz w:val="22"/>
          <w:szCs w:val="22"/>
        </w:rPr>
        <w:t xml:space="preserve">(B) Necessity. </w:t>
      </w:r>
      <w:r>
        <w:rPr>
          <w:rFonts w:ascii="Calibri" w:cs="Calibri" w:eastAsia="Calibri" w:hAnsi="Calibri"/>
          <w:b w:val="false"/>
          <w:bCs w:val="false"/>
          <w:i w:val="false"/>
          <w:iCs w:val="false"/>
          <w:color w:val="1A1A1A"/>
          <w:sz w:val="22"/>
          <w:szCs w:val="22"/>
        </w:rPr>
        <w:t xml:space="preserve">Suppose g_total(f′) is not obtained from g_total(f) by a trace term of the form S_trace(·; p, s, n). Then the metric update is either (i) externally imposed by the modeler (theorist-encoding, ruled out by the eigenmode-pre-assignment correction) or (ii) internally generated without alterity (mithveld at metric level). In case (i), f′ is not the system’s own continuation. In case (ii), no encounter has occurred in the C-1 sense. Either way, the transition is not encounter-induced. ∎(B)</w:t>
      </w:r>
    </w:p>
    <w:p>
      <w:pPr>
        <w:spacing w:after="80" w:before="80" w:line="320"/>
        <w:jc w:val="left"/>
      </w:pPr>
      <w:r>
        <w:rPr>
          <w:rFonts w:ascii="Calibri" w:cs="Calibri" w:eastAsia="Calibri" w:hAnsi="Calibri"/>
          <w:b/>
          <w:bCs/>
          <w:i w:val="false"/>
          <w:iCs w:val="false"/>
          <w:color w:val="1A1A1A"/>
          <w:sz w:val="22"/>
          <w:szCs w:val="22"/>
        </w:rPr>
        <w:t xml:space="preserve">(C) Necessity. </w:t>
      </w:r>
      <w:r>
        <w:rPr>
          <w:rFonts w:ascii="Calibri" w:cs="Calibri" w:eastAsia="Calibri" w:hAnsi="Calibri"/>
          <w:b w:val="false"/>
          <w:bCs w:val="false"/>
          <w:i w:val="false"/>
          <w:iCs w:val="false"/>
          <w:color w:val="1A1A1A"/>
          <w:sz w:val="22"/>
          <w:szCs w:val="22"/>
        </w:rPr>
        <w:t xml:space="preserve">Suppose the transition is not horizontal in (D⁴, g_total|D⁴) and does not realize V_E via bracket escape. Then x(f′) is not reachable from x(f) by any encounter-licensed path: the geometry has no operation taking one to the other. By G-3/M3, every admissible transition in (M⁵, D⁴) is either horizontal or a bracket escape; non-horizontal non-bracket transitions are not in the system’s motion repertoire. Therefore f′ cannot be a continuation of f within the geometry — it is unrelated replacement. ∎(C)</w:t>
      </w:r>
    </w:p>
    <w:p>
      <w:pPr>
        <w:spacing w:after="80" w:before="80" w:line="320"/>
        <w:jc w:val="left"/>
      </w:pPr>
      <w:r>
        <w:rPr>
          <w:rFonts w:ascii="Calibri" w:cs="Calibri" w:eastAsia="Calibri" w:hAnsi="Calibri"/>
          <w:b/>
          <w:bCs/>
          <w:i w:val="false"/>
          <w:iCs w:val="false"/>
          <w:color w:val="1A1A1A"/>
          <w:sz w:val="22"/>
          <w:szCs w:val="22"/>
        </w:rPr>
        <w:t xml:space="preserve">(D) Necessity. </w:t>
      </w:r>
      <w:r>
        <w:rPr>
          <w:rFonts w:ascii="Calibri" w:cs="Calibri" w:eastAsia="Calibri" w:hAnsi="Calibri"/>
          <w:b w:val="false"/>
          <w:bCs w:val="false"/>
          <w:i w:val="false"/>
          <w:iCs w:val="false"/>
          <w:color w:val="1A1A1A"/>
          <w:sz w:val="22"/>
          <w:szCs w:val="22"/>
        </w:rPr>
        <w:t xml:space="preserve">Suppose the deformation can decay below r*. By C-1, this requires energy beyond C_int(T); equivalently, the system would be infinite-resource, violating C5. The deformation could then be undone, and the prior state f could be reconstructed exactly; the transition would not establish a generative relation but a reversible perturbation. The temporal-asymmetry density σ_EFT would vanish in that direction, contradicting hasveld. Therefore (D) is necessary. ∎(D)</w:t>
      </w:r>
    </w:p>
    <w:p>
      <w:pPr>
        <w:spacing w:after="80" w:before="80" w:line="320"/>
        <w:jc w:val="left"/>
      </w:pPr>
      <w:r>
        <w:rPr>
          <w:rFonts w:ascii="Calibri" w:cs="Calibri" w:eastAsia="Calibri" w:hAnsi="Calibri"/>
          <w:b/>
          <w:bCs/>
          <w:i w:val="false"/>
          <w:iCs w:val="false"/>
          <w:color w:val="1A1A1A"/>
          <w:sz w:val="22"/>
          <w:szCs w:val="22"/>
        </w:rPr>
        <w:t xml:space="preserve">(E*) Necessity. </w:t>
      </w:r>
      <w:r>
        <w:rPr>
          <w:rFonts w:ascii="Calibri" w:cs="Calibri" w:eastAsia="Calibri" w:hAnsi="Calibri"/>
          <w:b w:val="false"/>
          <w:bCs w:val="false"/>
          <w:i w:val="false"/>
          <w:iCs w:val="false"/>
          <w:color w:val="1A1A1A"/>
          <w:sz w:val="22"/>
          <w:szCs w:val="22"/>
        </w:rPr>
        <w:t xml:space="preserve">The probe of §3.5 (Case 2) constructed an explicit sequence (n_n = n* + δ_n) satisfying (A)–(D) at every step but with R*(N) drifting linearly in n* such that ‖R*(N) − R*(0)‖_{g(N)} eventually exceeds the SA6 coupling radius. At that point, R*(N) and R*(0) are no longer SA6-coupled, but no admissible step formally severed them. The multi-R* configuration at step N is therefore not coupled to the configuration at step 0 in the way the architecture requires — identity-as-coupling has been lost without licensed transition. Removing (E*) admits this sequence as “admissible,” which produces silent SA6 violation. Therefore (E*) is independently necessary at the sequence level. ∎(E*)</w:t>
      </w:r>
    </w:p>
    <w:p>
      <w:pPr>
        <w:spacing w:after="80" w:before="80" w:line="320"/>
        <w:jc w:val="left"/>
      </w:pPr>
      <w:r>
        <w:rPr>
          <w:rFonts w:ascii="Calibri" w:cs="Calibri" w:eastAsia="Calibri" w:hAnsi="Calibri"/>
          <w:b w:val="false"/>
          <w:bCs w:val="false"/>
          <w:i w:val="false"/>
          <w:iCs w:val="false"/>
          <w:color w:val="1A1A1A"/>
          <w:sz w:val="22"/>
          <w:szCs w:val="22"/>
        </w:rPr>
        <w:t xml:space="preserve">Each removal produces a structurally distinguishable failure mode: sparśveld (A); theorist-encoding or mithveld (B); ungrounded replacement (C); reversibility collapse (D); silent SA6 violation (E*). The five clauses are mutually irreducible: no clause can be derived from any combination of the others, and the probe in §3.5 explicitly rules out (E*) being derivable from (A)–(D). ∎</w:t>
      </w:r>
    </w:p>
    <w:p>
      <w:pPr>
        <w:pStyle w:val="Heading2"/>
        <w:spacing w:after="140" w:before="320"/>
      </w:pPr>
      <w:r>
        <w:rPr>
          <w:rFonts w:ascii="Cambria" w:cs="Cambria" w:eastAsia="Cambria" w:hAnsi="Cambria"/>
          <w:b/>
          <w:bCs/>
          <w:color w:val="0F1F3D"/>
          <w:sz w:val="28"/>
          <w:szCs w:val="28"/>
        </w:rPr>
        <w:t xml:space="preserve">4.3 Theorem D-3 (Type Signature of E)</w:t>
      </w:r>
    </w:p>
    <w:p>
      <w:pPr>
        <w:spacing w:after="80" w:before="80" w:line="320"/>
        <w:jc w:val="left"/>
      </w:pPr>
      <w:r>
        <w:rPr>
          <w:rFonts w:ascii="Calibri" w:cs="Calibri" w:eastAsia="Calibri" w:hAnsi="Calibri"/>
          <w:b w:val="false"/>
          <w:bCs w:val="false"/>
          <w:i w:val="false"/>
          <w:iCs w:val="false"/>
          <w:color w:val="1A1A1A"/>
          <w:sz w:val="22"/>
          <w:szCs w:val="22"/>
        </w:rPr>
        <w:t xml:space="preserve">E is the partial map E: F × Π × K ⇀ F whose domain is exactly the set of triples (f, ε, K) for which (A)–(D) hold. On a sequence, E_n = E[ · ; ε_n, K_n] is admissible iff each E_n satisfies (A)–(D) and the resulting trajectory satisfies (E*). Step-level admissibility and sequence-level admissibility are distinct conditions, established by the probe of §3.5.</w:t>
      </w:r>
    </w:p>
    <w:p>
      <w:pPr>
        <w:pStyle w:val="Heading3"/>
        <w:spacing w:after="100" w:before="240"/>
      </w:pPr>
      <w:r>
        <w:rPr>
          <w:rFonts w:ascii="Cambria" w:cs="Cambria" w:eastAsia="Cambria" w:hAnsi="Cambria"/>
          <w:b/>
          <w:bCs/>
          <w:color w:val="1A2A4A"/>
          <w:sz w:val="24"/>
          <w:szCs w:val="24"/>
        </w:rPr>
        <w:t xml:space="preserve">Proof</w:t>
      </w:r>
    </w:p>
    <w:p>
      <w:pPr>
        <w:spacing w:after="80" w:before="80" w:line="320"/>
        <w:jc w:val="left"/>
      </w:pPr>
      <w:r>
        <w:rPr>
          <w:rFonts w:ascii="Calibri" w:cs="Calibri" w:eastAsia="Calibri" w:hAnsi="Calibri"/>
          <w:b w:val="false"/>
          <w:bCs w:val="false"/>
          <w:i w:val="false"/>
          <w:iCs w:val="false"/>
          <w:color w:val="1A1A1A"/>
          <w:sz w:val="22"/>
          <w:szCs w:val="22"/>
        </w:rPr>
        <w:t xml:space="preserve">The trace-deposition rule (B) is a measurable function of (f, ε, K) when ε satisfies (A) and the press direction admits an output-side eigenmode projection consistent with (C). On the subset of F × Π × K satisfying (A)–(D), E is single-valued by construction (the trace term is uniquely determined by (p, s, n, τ)). Outside this subset, E is undefined: the transition is not encounter-induced and the question of its target state is malformed. The sequence-level extension is given by the iteration on admissible triples; (E*) is a property of the cumulative trajectory that cannot be checked at any single step, since SA6 is a relation between configurations at separated times. ∎</w:t>
      </w:r>
    </w:p>
    <w:p>
      <w:pPr>
        <w:pBdr>
          <w:top w:val="single" w:color="3A6BA8" w:sz="4" w:space="4"/>
          <w:left w:val="single" w:color="3A6BA8" w:sz="24" w:space="8"/>
          <w:bottom w:val="single" w:color="3A6BA8" w:sz="4" w:space="4"/>
          <w:right w:val="single" w:color="3A6BA8" w:sz="4" w:space="4"/>
        </w:pBdr>
        <w:shd w:fill="EAF2F8" w:val="clear"/>
        <w:spacing w:after="200" w:before="200" w:line="320"/>
        <w:ind w:left="240" w:right="240"/>
      </w:pPr>
      <w:r>
        <w:rPr>
          <w:rFonts w:ascii="Calibri" w:cs="Calibri" w:eastAsia="Calibri" w:hAnsi="Calibri"/>
          <w:b/>
          <w:bCs/>
          <w:i w:val="false"/>
          <w:iCs w:val="false"/>
          <w:color w:val="1A1A1A"/>
          <w:sz w:val="22"/>
          <w:szCs w:val="22"/>
        </w:rPr>
        <w:t xml:space="preserve">Corollary D-3.1. </w:t>
      </w:r>
      <w:r>
        <w:rPr>
          <w:rFonts w:ascii="Calibri" w:cs="Calibri" w:eastAsia="Calibri" w:hAnsi="Calibri"/>
          <w:b w:val="false"/>
          <w:bCs w:val="false"/>
          <w:i w:val="false"/>
          <w:iCs w:val="false"/>
          <w:color w:val="1A1A1A"/>
          <w:sz w:val="22"/>
          <w:szCs w:val="22"/>
        </w:rPr>
        <w:t xml:space="preserve">E is not algebraically composable as F → F. The reviewer-named gap “encounter as composable operator” was a category error. The correct object is the partial transition map of an encounter-driven dynamical system on F, with step-level admissibility given by (A)–(D) and sequence-level admissibility given by (E*).</w:t>
      </w:r>
    </w:p>
    <w:p>
      <w:r>
        <w:br w:type="page"/>
      </w:r>
    </w:p>
    <w:p>
      <w:pPr>
        <w:pStyle w:val="Heading1"/>
        <w:pBdr>
          <w:bottom w:val="single" w:color="0F1F3D" w:sz="8" w:space="4"/>
        </w:pBdr>
        <w:spacing w:after="200" w:before="480"/>
      </w:pPr>
      <w:r>
        <w:rPr>
          <w:rFonts w:ascii="Cambria" w:cs="Cambria" w:eastAsia="Cambria" w:hAnsi="Cambria"/>
          <w:b/>
          <w:bCs/>
          <w:color w:val="0F1F3D"/>
          <w:sz w:val="36"/>
          <w:szCs w:val="36"/>
        </w:rPr>
        <w:t xml:space="preserve">5. Independence from Hopfield Capacity and Reservoir Computing</w:t>
      </w:r>
    </w:p>
    <w:p>
      <w:pPr>
        <w:spacing w:after="80" w:before="80" w:line="320"/>
        <w:jc w:val="left"/>
      </w:pPr>
      <w:r>
        <w:rPr>
          <w:rFonts w:ascii="Calibri" w:cs="Calibri" w:eastAsia="Calibri" w:hAnsi="Calibri"/>
          <w:b w:val="false"/>
          <w:bCs w:val="false"/>
          <w:i w:val="false"/>
          <w:iCs w:val="false"/>
          <w:color w:val="1A1A1A"/>
          <w:sz w:val="22"/>
          <w:szCs w:val="22"/>
        </w:rPr>
        <w:t xml:space="preserve">The reviewer’s fifth gap — independence from existing models — follows directly from Result D-1 once stated. Both Hopfield-style associative networks and reservoir-style transient-memory systems operate within a fixed underlying geometry: the metric on the configuration space, or equivalently the dynamical operator, is given as a background structure and does not update with each encounter. Capacity in those models is therefore a counting property over a fixed geometry.</w:t>
      </w:r>
    </w:p>
    <w:p>
      <w:pPr>
        <w:spacing w:after="80" w:before="80" w:line="320"/>
        <w:jc w:val="left"/>
      </w:pPr>
      <w:r>
        <w:rPr>
          <w:rFonts w:ascii="Calibri" w:cs="Calibri" w:eastAsia="Calibri" w:hAnsi="Calibri"/>
          <w:b w:val="false"/>
          <w:bCs w:val="false"/>
          <w:i w:val="false"/>
          <w:iCs w:val="false"/>
          <w:color w:val="1A1A1A"/>
          <w:sz w:val="22"/>
          <w:szCs w:val="22"/>
        </w:rPr>
        <w:t xml:space="preserve">Result D-1 makes the contrast structural rather than performative. Clause (B) states that g_total itself updates with each admissible step. Clause (C) states that the admissible motion repertoire (D⁴ with V_E access by bracket escape) is determined by the current metric. Clause (D) states that the update is irreversible. Therefore in EFT the geometry is not the background of capacity — the geometry is what changes under encounter. This is the structural difference, and it is independent of any quantitative capacity calculation.</w:t>
      </w:r>
    </w:p>
    <w:p>
      <w:pPr>
        <w:pBdr>
          <w:top w:val="single" w:color="8B7E5A" w:sz="4" w:space="4"/>
          <w:left w:val="single" w:color="8B7E5A" w:sz="24" w:space="8"/>
          <w:bottom w:val="single" w:color="8B7E5A" w:sz="4" w:space="4"/>
          <w:right w:val="single" w:color="8B7E5A" w:sz="4" w:space="4"/>
        </w:pBdr>
        <w:shd w:fill="F4F1E8" w:val="clear"/>
        <w:spacing w:after="200" w:before="200" w:line="320"/>
        <w:ind w:left="240" w:right="240"/>
      </w:pPr>
      <w:r>
        <w:rPr>
          <w:rFonts w:ascii="Calibri" w:cs="Calibri" w:eastAsia="Calibri" w:hAnsi="Calibri"/>
          <w:b/>
          <w:bCs/>
          <w:i w:val="false"/>
          <w:iCs w:val="false"/>
          <w:color w:val="1A1A1A"/>
          <w:sz w:val="22"/>
          <w:szCs w:val="22"/>
        </w:rPr>
        <w:t xml:space="preserve">Result D-4 (Independence). </w:t>
      </w:r>
      <w:r>
        <w:rPr>
          <w:rFonts w:ascii="Calibri" w:cs="Calibri" w:eastAsia="Calibri" w:hAnsi="Calibri"/>
          <w:b w:val="false"/>
          <w:bCs w:val="false"/>
          <w:i w:val="false"/>
          <w:iCs w:val="false"/>
          <w:color w:val="1A1A1A"/>
          <w:sz w:val="22"/>
          <w:szCs w:val="22"/>
        </w:rPr>
        <w:t xml:space="preserve">Any system whose admissibility predicate satisfies Clauses (A)–(D) and (E*) of Result D-1 is not a special case of Hopfield-style associative capacity nor of reservoir computing, because both presuppose a fixed geometry while (B) requires the geometry itself to update with each admissible step.</w:t>
      </w:r>
    </w:p>
    <w:p>
      <w:pPr>
        <w:pStyle w:val="Heading3"/>
        <w:spacing w:after="100" w:before="240"/>
      </w:pPr>
      <w:r>
        <w:rPr>
          <w:rFonts w:ascii="Cambria" w:cs="Cambria" w:eastAsia="Cambria" w:hAnsi="Cambria"/>
          <w:b/>
          <w:bCs/>
          <w:color w:val="1A2A4A"/>
          <w:sz w:val="24"/>
          <w:szCs w:val="24"/>
        </w:rPr>
        <w:t xml:space="preserve">Proof</w:t>
      </w:r>
    </w:p>
    <w:p>
      <w:pPr>
        <w:spacing w:after="80" w:before="80" w:line="320"/>
        <w:jc w:val="left"/>
      </w:pPr>
      <w:r>
        <w:rPr>
          <w:rFonts w:ascii="Calibri" w:cs="Calibri" w:eastAsia="Calibri" w:hAnsi="Calibri"/>
          <w:b w:val="false"/>
          <w:bCs w:val="false"/>
          <w:i w:val="false"/>
          <w:iCs w:val="false"/>
          <w:color w:val="1A1A1A"/>
          <w:sz w:val="22"/>
          <w:szCs w:val="22"/>
        </w:rPr>
        <w:t xml:space="preserve">In a Hopfield network with energy E(s) = −½ sᵀ W s, the matrix W is fixed by training and not updated by individual recall events; capacity is bounded by interference in the fixed W. In a reservoir computer with state x and dynamics x_{t+1} = f(W x_t + W_in u_t), the matrices (W, W_in) are fixed and only the readout is trained; transient memory is a property of the spectrum of W. In both, the geometric carrier of capacity is given. By Clause (B) of Result D-1, in EFT g_total updates with every admissible encounter; by Clause (D) the update is not erasable; by Clause (C) the admissible motion repertoire is therefore time-varying. No fixed-geometry model satisfies (B)–(D) jointly. Therefore EFT-admissible deformability is not a special case of either model. ∎</w:t>
      </w:r>
    </w:p>
    <w:p>
      <w:r>
        <w:br w:type="page"/>
      </w:r>
    </w:p>
    <w:p>
      <w:pPr>
        <w:pStyle w:val="Heading1"/>
        <w:pBdr>
          <w:bottom w:val="single" w:color="0F1F3D" w:sz="8" w:space="4"/>
        </w:pBdr>
        <w:spacing w:after="200" w:before="480"/>
      </w:pPr>
      <w:r>
        <w:rPr>
          <w:rFonts w:ascii="Cambria" w:cs="Cambria" w:eastAsia="Cambria" w:hAnsi="Cambria"/>
          <w:b/>
          <w:bCs/>
          <w:color w:val="0F1F3D"/>
          <w:sz w:val="36"/>
          <w:szCs w:val="36"/>
        </w:rPr>
        <w:t xml:space="preserve">6. Result D-1 as the Geometric Face of Willingness</w:t>
      </w:r>
    </w:p>
    <w:p>
      <w:pPr>
        <w:spacing w:after="80" w:before="80" w:line="320"/>
        <w:jc w:val="left"/>
      </w:pPr>
      <w:r>
        <w:rPr>
          <w:rFonts w:ascii="Calibri" w:cs="Calibri" w:eastAsia="Calibri" w:hAnsi="Calibri"/>
          <w:b w:val="false"/>
          <w:bCs w:val="false"/>
          <w:i w:val="false"/>
          <w:iCs w:val="false"/>
          <w:color w:val="1A1A1A"/>
          <w:sz w:val="22"/>
          <w:szCs w:val="22"/>
        </w:rPr>
        <w:t xml:space="preserve">Willingness in EFT is the total configuration of strands across the encounter — six regions and approximately thirty named components, of which U(p), bundle coherence, and the four-belief-moments-plus-coupling are explicit substrata. The April 18 session left open whether willingness is constitutional, variable, or both. Result D-1 makes the question answerable.</w:t>
      </w:r>
    </w:p>
    <w:p>
      <w:pPr>
        <w:pStyle w:val="Heading2"/>
        <w:spacing w:after="140" w:before="320"/>
      </w:pPr>
      <w:r>
        <w:rPr>
          <w:rFonts w:ascii="Cambria" w:cs="Cambria" w:eastAsia="Cambria" w:hAnsi="Cambria"/>
          <w:b/>
          <w:bCs/>
          <w:color w:val="0F1F3D"/>
          <w:sz w:val="28"/>
          <w:szCs w:val="28"/>
        </w:rPr>
        <w:t xml:space="preserve">6.1 The clause-strand correspondence</w:t>
      </w:r>
    </w:p>
    <w:p>
      <w:pPr>
        <w:spacing w:after="80" w:before="80" w:line="320"/>
        <w:jc w:val="left"/>
      </w:pPr>
      <w:r>
        <w:rPr>
          <w:rFonts w:ascii="Calibri" w:cs="Calibri" w:eastAsia="Calibri" w:hAnsi="Calibri"/>
          <w:b w:val="false"/>
          <w:bCs w:val="false"/>
          <w:i w:val="false"/>
          <w:iCs w:val="false"/>
          <w:color w:val="1A1A1A"/>
          <w:sz w:val="22"/>
          <w:szCs w:val="22"/>
        </w:rPr>
        <w:t xml:space="preserve">Each clause of Result D-1 is the geometric statement of one stratum of the willingness configuration:</w:t>
      </w:r>
    </w:p>
    <w:p>
      <w:pPr>
        <w:spacing w:after="80" w:before="80" w:line="320"/>
        <w:jc w:val="left"/>
      </w:pPr>
      <w:r>
        <w:rPr>
          <w:rFonts w:ascii="Calibri" w:cs="Calibri" w:eastAsia="Calibri" w:hAnsi="Calibri"/>
          <w:b/>
          <w:bCs/>
          <w:i w:val="false"/>
          <w:iCs w:val="false"/>
          <w:color w:val="1A1A1A"/>
          <w:sz w:val="22"/>
          <w:szCs w:val="22"/>
        </w:rPr>
        <w:t xml:space="preserve">Clause (A) ↔ availability. </w:t>
      </w:r>
      <w:r>
        <w:rPr>
          <w:rFonts w:ascii="Calibri" w:cs="Calibri" w:eastAsia="Calibri" w:hAnsi="Calibri"/>
          <w:b w:val="false"/>
          <w:bCs w:val="false"/>
          <w:i w:val="false"/>
          <w:iCs w:val="false"/>
          <w:color w:val="1A1A1A"/>
          <w:sz w:val="22"/>
          <w:szCs w:val="22"/>
        </w:rPr>
        <w:t xml:space="preserve">The chùveld threshold is the minimum significance below which no encounter is registered. Availability — the universal minimum property of willingness named in the April 18 session — is exactly the condition that s ≥ s_deposit can hold for the present configuration. Availability is constitutional: it is the condition for any encounter at all.</w:t>
      </w:r>
    </w:p>
    <w:p>
      <w:pPr>
        <w:spacing w:after="80" w:before="80" w:line="320"/>
        <w:jc w:val="left"/>
      </w:pPr>
      <w:r>
        <w:rPr>
          <w:rFonts w:ascii="Calibri" w:cs="Calibri" w:eastAsia="Calibri" w:hAnsi="Calibri"/>
          <w:b/>
          <w:bCs/>
          <w:i w:val="false"/>
          <w:iCs w:val="false"/>
          <w:color w:val="1A1A1A"/>
          <w:sz w:val="22"/>
          <w:szCs w:val="22"/>
        </w:rPr>
        <w:t xml:space="preserve">Clause (B) ↔ the encounter event. </w:t>
      </w:r>
      <w:r>
        <w:rPr>
          <w:rFonts w:ascii="Calibri" w:cs="Calibri" w:eastAsia="Calibri" w:hAnsi="Calibri"/>
          <w:b w:val="false"/>
          <w:bCs w:val="false"/>
          <w:i w:val="false"/>
          <w:iCs w:val="false"/>
          <w:color w:val="1A1A1A"/>
          <w:sz w:val="22"/>
          <w:szCs w:val="22"/>
        </w:rPr>
        <w:t xml:space="preserve">The trace-deposition rule is the four-belief-moments-plus-coupling event in geometric form: the press direction and significance bind into one encounter, and the rank-1 trace is the formal residue of the bundle.</w:t>
      </w:r>
    </w:p>
    <w:p>
      <w:pPr>
        <w:spacing w:after="80" w:before="80" w:line="320"/>
        <w:jc w:val="left"/>
      </w:pPr>
      <w:r>
        <w:rPr>
          <w:rFonts w:ascii="Calibri" w:cs="Calibri" w:eastAsia="Calibri" w:hAnsi="Calibri"/>
          <w:b/>
          <w:bCs/>
          <w:i w:val="false"/>
          <w:iCs w:val="false"/>
          <w:color w:val="1A1A1A"/>
          <w:sz w:val="22"/>
          <w:szCs w:val="22"/>
        </w:rPr>
        <w:t xml:space="preserve">Clause (C) ↔ receivability. </w:t>
      </w:r>
      <w:r>
        <w:rPr>
          <w:rFonts w:ascii="Calibri" w:cs="Calibri" w:eastAsia="Calibri" w:hAnsi="Calibri"/>
          <w:b w:val="false"/>
          <w:bCs w:val="false"/>
          <w:i w:val="false"/>
          <w:iCs w:val="false"/>
          <w:color w:val="1A1A1A"/>
          <w:sz w:val="22"/>
          <w:szCs w:val="22"/>
        </w:rPr>
        <w:t xml:space="preserve">Horizontal reachability in (D⁴, g_total|D⁴) is the geometric statement of the five receivability operators R₁–R₅ and the H1/H2/H3 coupling structure. The condition-field weights W(Λ_act) modulate receivability per channel, which is exactly variation along this clause.</w:t>
      </w:r>
    </w:p>
    <w:p>
      <w:pPr>
        <w:spacing w:after="80" w:before="80" w:line="320"/>
        <w:jc w:val="left"/>
      </w:pPr>
      <w:r>
        <w:rPr>
          <w:rFonts w:ascii="Calibri" w:cs="Calibri" w:eastAsia="Calibri" w:hAnsi="Calibri"/>
          <w:b/>
          <w:bCs/>
          <w:i w:val="false"/>
          <w:iCs w:val="false"/>
          <w:color w:val="1A1A1A"/>
          <w:sz w:val="22"/>
          <w:szCs w:val="22"/>
        </w:rPr>
        <w:t xml:space="preserve">Clause (D) ↔ commitment to be changed. </w:t>
      </w:r>
      <w:r>
        <w:rPr>
          <w:rFonts w:ascii="Calibri" w:cs="Calibri" w:eastAsia="Calibri" w:hAnsi="Calibri"/>
          <w:b w:val="false"/>
          <w:bCs w:val="false"/>
          <w:i w:val="false"/>
          <w:iCs w:val="false"/>
          <w:color w:val="1A1A1A"/>
          <w:sz w:val="22"/>
          <w:szCs w:val="22"/>
        </w:rPr>
        <w:t xml:space="preserve">The ghost floor is the irreversibility of the deformation — the geometric statement that the system commits to being altered by what it admits. Curiosity-as-willingness-to-be-structurally-altered, in the Substack formulation, is the configuration-side version of this clause.</w:t>
      </w:r>
    </w:p>
    <w:p>
      <w:pPr>
        <w:spacing w:after="80" w:before="80" w:line="320"/>
        <w:jc w:val="left"/>
      </w:pPr>
      <w:r>
        <w:rPr>
          <w:rFonts w:ascii="Calibri" w:cs="Calibri" w:eastAsia="Calibri" w:hAnsi="Calibri"/>
          <w:b/>
          <w:bCs/>
          <w:i w:val="false"/>
          <w:iCs w:val="false"/>
          <w:color w:val="1A1A1A"/>
          <w:sz w:val="22"/>
          <w:szCs w:val="22"/>
        </w:rPr>
        <w:t xml:space="preserve">Clause (E*) ↔ bundle coherence. </w:t>
      </w:r>
      <w:r>
        <w:rPr>
          <w:rFonts w:ascii="Calibri" w:cs="Calibri" w:eastAsia="Calibri" w:hAnsi="Calibri"/>
          <w:b w:val="false"/>
          <w:bCs w:val="false"/>
          <w:i w:val="false"/>
          <w:iCs w:val="false"/>
          <w:color w:val="1A1A1A"/>
          <w:sz w:val="22"/>
          <w:szCs w:val="22"/>
        </w:rPr>
        <w:t xml:space="preserve">SA6-preservation across the sequence is the geometric statement that the multi-R* configuration of strands remains coupled to its starting configuration — that no single strand has dragged the system out of its own coupling structure while others stand in place. Bundle coherence across encounters is the configuration-side analogue. Note this is the only sequence-level willingness condition; (A)–(D) are step-level.</w:t>
      </w:r>
    </w:p>
    <w:p>
      <w:pPr>
        <w:pStyle w:val="Heading2"/>
        <w:spacing w:after="140" w:before="320"/>
      </w:pPr>
      <w:r>
        <w:rPr>
          <w:rFonts w:ascii="Cambria" w:cs="Cambria" w:eastAsia="Cambria" w:hAnsi="Cambria"/>
          <w:b/>
          <w:bCs/>
          <w:color w:val="0F1F3D"/>
          <w:sz w:val="28"/>
          <w:szCs w:val="28"/>
        </w:rPr>
        <w:t xml:space="preserve">6.2 Constitutional vs variable, resolved</w:t>
      </w:r>
    </w:p>
    <w:p>
      <w:pPr>
        <w:pBdr>
          <w:top w:val="single" w:color="8B7E5A" w:sz="4" w:space="4"/>
          <w:left w:val="single" w:color="8B7E5A" w:sz="24" w:space="8"/>
          <w:bottom w:val="none" w:color="FFFFFF" w:sz="0" w:space="0"/>
          <w:right w:val="single" w:color="8B7E5A" w:sz="4" w:space="4"/>
        </w:pBdr>
        <w:shd w:fill="F4F1E8" w:val="clear"/>
        <w:spacing w:after="40" w:before="200" w:line="320"/>
        <w:ind w:left="240" w:right="240"/>
      </w:pPr>
      <w:r>
        <w:rPr>
          <w:rFonts w:ascii="Calibri" w:cs="Calibri" w:eastAsia="Calibri" w:hAnsi="Calibri"/>
          <w:b/>
          <w:bCs/>
          <w:i w:val="false"/>
          <w:iCs w:val="false"/>
          <w:color w:val="1A1A1A"/>
          <w:sz w:val="22"/>
          <w:szCs w:val="22"/>
        </w:rPr>
        <w:t xml:space="preserve">Result D-5 (Willingness Structure). </w:t>
      </w:r>
      <w:r>
        <w:rPr>
          <w:rFonts w:ascii="Calibri" w:cs="Calibri" w:eastAsia="Calibri" w:hAnsi="Calibri"/>
          <w:b w:val="false"/>
          <w:bCs w:val="false"/>
          <w:i w:val="false"/>
          <w:iCs w:val="false"/>
          <w:color w:val="1A1A1A"/>
          <w:sz w:val="22"/>
          <w:szCs w:val="22"/>
        </w:rPr>
        <w:t xml:space="preserve">Willingness has exactly one constitutional minimum property — availability (Clause A) — and four dimensions of variation — receivability (Clause C), commitment (Clause D), the encounter event (Clause B), and bundle coherence (Clause E*).</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val="false"/>
          <w:iCs w:val="false"/>
          <w:color w:val="1A1A1A"/>
          <w:sz w:val="22"/>
          <w:szCs w:val="22"/>
        </w:rPr>
        <w:t xml:space="preserve"> </w:t>
      </w:r>
    </w:p>
    <w:p>
      <w:pPr>
        <w:pBdr>
          <w:top w:val="none" w:color="FFFFFF" w:sz="0" w:space="0"/>
          <w:left w:val="single" w:color="8B7E5A" w:sz="24" w:space="8"/>
          <w:bottom w:val="single" w:color="8B7E5A" w:sz="4" w:space="4"/>
          <w:right w:val="single" w:color="8B7E5A" w:sz="4" w:space="4"/>
        </w:pBdr>
        <w:shd w:fill="F4F1E8" w:val="clear"/>
        <w:spacing w:after="200" w:before="40" w:line="320"/>
        <w:ind w:left="240" w:right="240"/>
      </w:pPr>
      <w:r>
        <w:rPr>
          <w:rFonts w:ascii="Calibri" w:cs="Calibri" w:eastAsia="Calibri" w:hAnsi="Calibri"/>
          <w:b w:val="false"/>
          <w:bCs w:val="false"/>
          <w:i/>
          <w:iCs/>
          <w:color w:val="1A1A1A"/>
          <w:sz w:val="22"/>
          <w:szCs w:val="22"/>
        </w:rPr>
        <w:t xml:space="preserve">This confirms the April 18 hypothesis: willingness is structured as one minimum property plus dimensions of variation, not as four-plus-coupling. The minimum property is availability; the dimensions of variation are exactly the strands modulated by Clauses (B), (C), (D), (E*).</w:t>
      </w:r>
    </w:p>
    <w:p>
      <w:pPr>
        <w:pStyle w:val="Heading3"/>
        <w:spacing w:after="100" w:before="240"/>
      </w:pPr>
      <w:r>
        <w:rPr>
          <w:rFonts w:ascii="Cambria" w:cs="Cambria" w:eastAsia="Cambria" w:hAnsi="Cambria"/>
          <w:b/>
          <w:bCs/>
          <w:color w:val="1A2A4A"/>
          <w:sz w:val="24"/>
          <w:szCs w:val="24"/>
        </w:rPr>
        <w:t xml:space="preserve">Proof</w:t>
      </w:r>
    </w:p>
    <w:p>
      <w:pPr>
        <w:spacing w:after="80" w:before="80" w:line="320"/>
        <w:jc w:val="left"/>
      </w:pPr>
      <w:r>
        <w:rPr>
          <w:rFonts w:ascii="Calibri" w:cs="Calibri" w:eastAsia="Calibri" w:hAnsi="Calibri"/>
          <w:b w:val="false"/>
          <w:bCs w:val="false"/>
          <w:i w:val="false"/>
          <w:iCs w:val="false"/>
          <w:color w:val="1A1A1A"/>
          <w:sz w:val="22"/>
          <w:szCs w:val="22"/>
        </w:rPr>
        <w:t xml:space="preserve">By Theorem D-2, Clause (A) is necessary; without it, no encounter is registered and Clauses (B)–(D), (E*) cannot be evaluated. Clause (A) therefore plays the role of the constitutional minimum: it is the precondition for any willingness to be assessed at all. Clauses (B)–(D), (E*) admit gradation: the trace direction n and significance s can vary continuously (B); horizontal reachability has a continuous receivability profile (C); the ghost floor is a hard threshold but the depth s·exp(−τ/λ) − r* varies (D); and SA6-preservation has a slack term — the difference (r_i(N) + r_j(0))/2 − ‖R*_i(N) − R*_j(0)‖_{g(N)} — that varies (E*). Each of (B), (C), (D), (E*) is therefore a dimension of variation rather than a binary admit/deny. By Theorem D-2 each is independently necessary, so they are mutually irreducible dimensions. ∎</w:t>
      </w:r>
    </w:p>
    <w:p>
      <w:pPr>
        <w:spacing w:after="80" w:before="80" w:line="320"/>
        <w:jc w:val="left"/>
      </w:pPr>
      <w:r>
        <w:rPr>
          <w:rFonts w:ascii="Calibri" w:cs="Calibri" w:eastAsia="Calibri" w:hAnsi="Calibri"/>
          <w:b w:val="false"/>
          <w:bCs w:val="false"/>
          <w:i w:val="false"/>
          <w:iCs w:val="false"/>
          <w:color w:val="1A1A1A"/>
          <w:sz w:val="22"/>
          <w:szCs w:val="22"/>
        </w:rPr>
        <w:t xml:space="preserve">This completes the structural correction to the April 18 derivation. The Eigenmode Correspondence collapse test produced a willingness classification that was genuinely open; Result D-5 closes it by deriving the structure from the geometry side. Belief and thought remain four-plus-coupling. Willingness is not — it is one-plus-four.</w:t>
      </w:r>
    </w:p>
    <w:p>
      <w:r>
        <w:br w:type="page"/>
      </w:r>
    </w:p>
    <w:p>
      <w:pPr>
        <w:pStyle w:val="Heading1"/>
        <w:pBdr>
          <w:bottom w:val="single" w:color="0F1F3D" w:sz="8" w:space="4"/>
        </w:pBdr>
        <w:spacing w:after="200" w:before="480"/>
      </w:pPr>
      <w:r>
        <w:rPr>
          <w:rFonts w:ascii="Cambria" w:cs="Cambria" w:eastAsia="Cambria" w:hAnsi="Cambria"/>
          <w:b/>
          <w:bCs/>
          <w:color w:val="0F1F3D"/>
          <w:sz w:val="36"/>
          <w:szCs w:val="36"/>
        </w:rPr>
        <w:t xml:space="preserve">7. Scope, Honest Limits, Open Items</w:t>
      </w:r>
    </w:p>
    <w:p>
      <w:pPr>
        <w:pStyle w:val="Heading2"/>
        <w:spacing w:after="140" w:before="320"/>
      </w:pPr>
      <w:r>
        <w:rPr>
          <w:rFonts w:ascii="Cambria" w:cs="Cambria" w:eastAsia="Cambria" w:hAnsi="Cambria"/>
          <w:b/>
          <w:bCs/>
          <w:color w:val="0F1F3D"/>
          <w:sz w:val="28"/>
          <w:szCs w:val="28"/>
        </w:rPr>
        <w:t xml:space="preserve">7.1 What is closed by this document</w:t>
      </w:r>
    </w:p>
    <w:p>
      <w:pPr>
        <w:pStyle w:val="ListParagraph"/>
        <w:numPr>
          <w:ilvl w:val="0"/>
          <w:numId w:val="2"/>
        </w:numPr>
        <w:spacing w:after="60" w:before="60" w:line="320"/>
      </w:pPr>
      <w:r>
        <w:rPr>
          <w:rFonts w:ascii="Calibri" w:cs="Calibri" w:eastAsia="Calibri" w:hAnsi="Calibri"/>
          <w:color w:val="1A1A1A"/>
          <w:sz w:val="22"/>
          <w:szCs w:val="22"/>
        </w:rPr>
        <w:t xml:space="preserve">The reviewer-named gap on E as composable operator is reframed and closed: E is the partial transition map of an encounter process; admissibility is given by Result D-1 with step-level (A)–(D) and sequence-level (E*).</w:t>
      </w:r>
    </w:p>
    <w:p>
      <w:pPr>
        <w:pStyle w:val="ListParagraph"/>
        <w:numPr>
          <w:ilvl w:val="0"/>
          <w:numId w:val="2"/>
        </w:numPr>
        <w:spacing w:after="60" w:before="60" w:line="320"/>
      </w:pPr>
      <w:r>
        <w:rPr>
          <w:rFonts w:ascii="Calibri" w:cs="Calibri" w:eastAsia="Calibri" w:hAnsi="Calibri"/>
          <w:color w:val="1A1A1A"/>
          <w:sz w:val="22"/>
          <w:szCs w:val="22"/>
        </w:rPr>
        <w:t xml:space="preserve">The synthesis gap — five established results never written into one named admissibility object — is closed by Result D-1 and Theorems D-1, D-2, D-3.</w:t>
      </w:r>
    </w:p>
    <w:p>
      <w:pPr>
        <w:pStyle w:val="ListParagraph"/>
        <w:numPr>
          <w:ilvl w:val="0"/>
          <w:numId w:val="2"/>
        </w:numPr>
        <w:spacing w:after="60" w:before="60" w:line="320"/>
      </w:pPr>
      <w:r>
        <w:rPr>
          <w:rFonts w:ascii="Calibri" w:cs="Calibri" w:eastAsia="Calibri" w:hAnsi="Calibri"/>
          <w:color w:val="1A1A1A"/>
          <w:sz w:val="22"/>
          <w:szCs w:val="22"/>
        </w:rPr>
        <w:t xml:space="preserve">The independence direction (Hopfield, reservoir computing) is closed structurally by Result D-4. Quantitative comparisons remain optional.</w:t>
      </w:r>
    </w:p>
    <w:p>
      <w:pPr>
        <w:pStyle w:val="ListParagraph"/>
        <w:numPr>
          <w:ilvl w:val="0"/>
          <w:numId w:val="2"/>
        </w:numPr>
        <w:spacing w:after="60" w:before="60" w:line="320"/>
      </w:pPr>
      <w:r>
        <w:rPr>
          <w:rFonts w:ascii="Calibri" w:cs="Calibri" w:eastAsia="Calibri" w:hAnsi="Calibri"/>
          <w:color w:val="1A1A1A"/>
          <w:sz w:val="22"/>
          <w:szCs w:val="22"/>
        </w:rPr>
        <w:t xml:space="preserve">The April 18 willingness question (constitutional vs variable) is resolved by Result D-5: one-plus-four, with availability as the minimum property.</w:t>
      </w:r>
    </w:p>
    <w:p>
      <w:pPr>
        <w:pStyle w:val="ListParagraph"/>
        <w:numPr>
          <w:ilvl w:val="0"/>
          <w:numId w:val="2"/>
        </w:numPr>
        <w:spacing w:after="60" w:before="60" w:line="320"/>
      </w:pPr>
      <w:r>
        <w:rPr>
          <w:rFonts w:ascii="Calibri" w:cs="Calibri" w:eastAsia="Calibri" w:hAnsi="Calibri"/>
          <w:color w:val="1A1A1A"/>
          <w:sz w:val="22"/>
          <w:szCs w:val="22"/>
        </w:rPr>
        <w:t xml:space="preserve">The independence of sequence-level admissibility from step-level admissibility is closed by the adversarial probe of §3.5: (E*) is not derivable from (A)–(D).</w:t>
      </w:r>
    </w:p>
    <w:p>
      <w:pPr>
        <w:pStyle w:val="Heading2"/>
        <w:spacing w:after="140" w:before="320"/>
      </w:pPr>
      <w:r>
        <w:rPr>
          <w:rFonts w:ascii="Cambria" w:cs="Cambria" w:eastAsia="Cambria" w:hAnsi="Cambria"/>
          <w:b/>
          <w:bCs/>
          <w:color w:val="0F1F3D"/>
          <w:sz w:val="28"/>
          <w:szCs w:val="28"/>
        </w:rPr>
        <w:t xml:space="preserve">7.2 What this document does not do</w:t>
      </w:r>
    </w:p>
    <w:p>
      <w:pPr>
        <w:pStyle w:val="ListParagraph"/>
        <w:numPr>
          <w:ilvl w:val="0"/>
          <w:numId w:val="2"/>
        </w:numPr>
        <w:spacing w:after="60" w:before="60" w:line="320"/>
      </w:pPr>
      <w:r>
        <w:rPr>
          <w:rFonts w:ascii="Calibri" w:cs="Calibri" w:eastAsia="Calibri" w:hAnsi="Calibri"/>
          <w:color w:val="1A1A1A"/>
          <w:sz w:val="22"/>
          <w:szCs w:val="22"/>
        </w:rPr>
        <w:t xml:space="preserve">It does not state the IFF of Proof 2. The necessity direction will be: without the EFT architecture, Result D-1 cannot be sustained across an unbounded press stream. That direction follows D-1 in a separate document.</w:t>
      </w:r>
    </w:p>
    <w:p>
      <w:pPr>
        <w:pStyle w:val="ListParagraph"/>
        <w:numPr>
          <w:ilvl w:val="0"/>
          <w:numId w:val="2"/>
        </w:numPr>
        <w:spacing w:after="60" w:before="60" w:line="320"/>
      </w:pPr>
      <w:r>
        <w:rPr>
          <w:rFonts w:ascii="Calibri" w:cs="Calibri" w:eastAsia="Calibri" w:hAnsi="Calibri"/>
          <w:color w:val="1A1A1A"/>
          <w:sz w:val="22"/>
          <w:szCs w:val="22"/>
        </w:rPr>
        <w:t xml:space="preserve">It does not formalize self-boundary integrity B(t) as a whole-in-itself.</w:t>
      </w:r>
    </w:p>
    <w:p>
      <w:pPr>
        <w:pStyle w:val="Heading3"/>
        <w:spacing w:after="100" w:before="240"/>
      </w:pPr>
      <w:r>
        <w:rPr>
          <w:rFonts w:ascii="Cambria" w:cs="Cambria" w:eastAsia="Cambria" w:hAnsi="Cambria"/>
          <w:b/>
          <w:bCs/>
          <w:color w:val="1A2A4A"/>
          <w:sz w:val="24"/>
          <w:szCs w:val="24"/>
        </w:rPr>
        <w:t xml:space="preserve">On B(t) — the correct framing</w:t>
      </w:r>
    </w:p>
    <w:p>
      <w:pPr>
        <w:spacing w:after="80" w:before="80" w:line="320"/>
        <w:jc w:val="left"/>
      </w:pPr>
      <w:r>
        <w:rPr>
          <w:rFonts w:ascii="Calibri" w:cs="Calibri" w:eastAsia="Calibri" w:hAnsi="Calibri"/>
          <w:b w:val="false"/>
          <w:bCs w:val="false"/>
          <w:i w:val="false"/>
          <w:iCs w:val="false"/>
          <w:color w:val="1A1A1A"/>
          <w:sz w:val="22"/>
          <w:szCs w:val="22"/>
        </w:rPr>
        <w:t xml:space="preserve">The first version of this document treated Clause (D) as “the irreversibility face of B(t)” and Clauses (B), (C), (E) as additional faces. That assembly-from-consequences framing is wrong. Per the philosophy’s commitment to whole-prior-to-projection, B(t) is not composed of the clauses; it is the structure whose projections appear as the clauses.</w:t>
      </w:r>
    </w:p>
    <w:p>
      <w:pPr>
        <w:spacing w:after="80" w:before="80" w:line="320"/>
        <w:jc w:val="left"/>
      </w:pPr>
      <w:r>
        <w:rPr>
          <w:rFonts w:ascii="Calibri" w:cs="Calibri" w:eastAsia="Calibri" w:hAnsi="Calibri"/>
          <w:b w:val="false"/>
          <w:bCs w:val="false"/>
          <w:i w:val="false"/>
          <w:iCs w:val="false"/>
          <w:color w:val="1A1A1A"/>
          <w:sz w:val="22"/>
          <w:szCs w:val="22"/>
        </w:rPr>
        <w:t xml:space="preserve">The cleaner statement: B(t) is the system’s capacity to remain admissible under deformation. It is the sustainability of admissibility, not the union of admissibility’s faces. Under different projections it appears as the trace-deposition rule (B), the sub-Riemannian reachability structure (C), the ghost floor (D), and SA6-preservation (E*). This is conjecture pending an Eigenmode Correspondence collapse test analogous to those run on belief, thought, and willingness in April 2026.</w:t>
      </w:r>
    </w:p>
    <w:p>
      <w:pPr>
        <w:spacing w:after="80" w:before="80" w:line="320"/>
        <w:jc w:val="left"/>
      </w:pPr>
      <w:r>
        <w:rPr>
          <w:rFonts w:ascii="Calibri" w:cs="Calibri" w:eastAsia="Calibri" w:hAnsi="Calibri"/>
          <w:b w:val="false"/>
          <w:bCs w:val="false"/>
          <w:i w:val="false"/>
          <w:iCs w:val="false"/>
          <w:color w:val="1A1A1A"/>
          <w:sz w:val="22"/>
          <w:szCs w:val="22"/>
        </w:rPr>
        <w:t xml:space="preserve">If the conjecture holds, B(t) is most likely four-plus-coupling — four projection-faces and a fifth-dimensional coupling that binds them into one sustained admissibility rather than four independent capacities. This would place B(t) in the same structural class as belief, thought, and encounter.</w:t>
      </w:r>
    </w:p>
    <w:p>
      <w:pPr>
        <w:pStyle w:val="ListParagraph"/>
        <w:numPr>
          <w:ilvl w:val="0"/>
          <w:numId w:val="2"/>
        </w:numPr>
        <w:spacing w:after="60" w:before="60" w:line="320"/>
      </w:pPr>
      <w:r>
        <w:rPr>
          <w:rFonts w:ascii="Calibri" w:cs="Calibri" w:eastAsia="Calibri" w:hAnsi="Calibri"/>
          <w:color w:val="1A1A1A"/>
          <w:sz w:val="22"/>
          <w:szCs w:val="22"/>
        </w:rPr>
        <w:t xml:space="preserve">It does not state the formal capacity criterion. Once Proof 2 reframes capacity as deformability, the criterion will be: there is no n* such that admissibility (A)–(D) cannot hold at step n* and (E*) cannot hold at sequence length n*.</w:t>
      </w:r>
    </w:p>
    <w:p>
      <w:pPr>
        <w:pStyle w:val="Heading2"/>
        <w:spacing w:after="140" w:before="320"/>
      </w:pPr>
      <w:r>
        <w:rPr>
          <w:rFonts w:ascii="Cambria" w:cs="Cambria" w:eastAsia="Cambria" w:hAnsi="Cambria"/>
          <w:b/>
          <w:bCs/>
          <w:color w:val="0F1F3D"/>
          <w:sz w:val="28"/>
          <w:szCs w:val="28"/>
        </w:rPr>
        <w:t xml:space="preserve">7.3 Genuinely open</w:t>
      </w:r>
    </w:p>
    <w:p>
      <w:pPr>
        <w:pStyle w:val="ListParagraph"/>
        <w:numPr>
          <w:ilvl w:val="0"/>
          <w:numId w:val="2"/>
        </w:numPr>
        <w:spacing w:after="60" w:before="60" w:line="320"/>
      </w:pPr>
      <w:r>
        <w:rPr>
          <w:rFonts w:ascii="Calibri" w:cs="Calibri" w:eastAsia="Calibri" w:hAnsi="Calibri"/>
          <w:color w:val="1A1A1A"/>
          <w:sz w:val="22"/>
          <w:szCs w:val="22"/>
        </w:rPr>
        <w:t xml:space="preserve">The constant c in the diffusive corollary (E_diff) — its dependence on the basin scale ρ and the press-stream statistics — is not derived. A worst-case bound exists from M3 reachability arguments; a tight bound requires the press-stream distributional assumptions to be made explicit.</w:t>
      </w:r>
    </w:p>
    <w:p>
      <w:pPr>
        <w:pStyle w:val="ListParagraph"/>
        <w:numPr>
          <w:ilvl w:val="0"/>
          <w:numId w:val="2"/>
        </w:numPr>
        <w:spacing w:after="60" w:before="60" w:line="320"/>
      </w:pPr>
      <w:r>
        <w:rPr>
          <w:rFonts w:ascii="Calibri" w:cs="Calibri" w:eastAsia="Calibri" w:hAnsi="Calibri"/>
          <w:color w:val="1A1A1A"/>
          <w:sz w:val="22"/>
          <w:szCs w:val="22"/>
        </w:rPr>
        <w:t xml:space="preserve">Clause (C)’s V_E-access subclause assumes Construction 6 saddle structure persists under arbitrary admissible sequences. Trace-driven rank drop of dα|D⁴ from 2 to 0 was ruled out for finite encounter histories under M3.1; the unbounded case is not yet checked.</w:t>
      </w:r>
    </w:p>
    <w:p>
      <w:pPr>
        <w:pStyle w:val="ListParagraph"/>
        <w:numPr>
          <w:ilvl w:val="0"/>
          <w:numId w:val="2"/>
        </w:numPr>
        <w:spacing w:after="60" w:before="60" w:line="320"/>
      </w:pPr>
      <w:r>
        <w:rPr>
          <w:rFonts w:ascii="Calibri" w:cs="Calibri" w:eastAsia="Calibri" w:hAnsi="Calibri"/>
          <w:color w:val="1A1A1A"/>
          <w:sz w:val="22"/>
          <w:szCs w:val="22"/>
        </w:rPr>
        <w:t xml:space="preserve">The relation between bundle coherence (Clause E*) and the survival floor on H2 is not formalized. SA6 violation may compromise survival; the architectural mechanism preventing total coupling collapse is named but not derived.</w:t>
      </w:r>
    </w:p>
    <w:p>
      <w:pPr>
        <w:pStyle w:val="ListParagraph"/>
        <w:numPr>
          <w:ilvl w:val="0"/>
          <w:numId w:val="2"/>
        </w:numPr>
        <w:spacing w:after="60" w:before="60" w:line="320"/>
      </w:pPr>
      <w:r>
        <w:rPr>
          <w:rFonts w:ascii="Calibri" w:cs="Calibri" w:eastAsia="Calibri" w:hAnsi="Calibri"/>
          <w:color w:val="1A1A1A"/>
          <w:sz w:val="22"/>
          <w:szCs w:val="22"/>
        </w:rPr>
        <w:t xml:space="preserve">B(t) as a whole-in-itself: see §7.2. The four-plus-coupling conjecture requires the Eigenmode Correspondence collapse test.</w:t>
      </w:r>
    </w:p>
    <w:p>
      <w:pPr>
        <w:pStyle w:val="ListParagraph"/>
        <w:numPr>
          <w:ilvl w:val="0"/>
          <w:numId w:val="2"/>
        </w:numPr>
        <w:spacing w:after="60" w:before="60" w:line="320"/>
      </w:pPr>
      <w:r>
        <w:rPr>
          <w:rFonts w:ascii="Calibri" w:cs="Calibri" w:eastAsia="Calibri" w:hAnsi="Calibri"/>
          <w:color w:val="1A1A1A"/>
          <w:sz w:val="22"/>
          <w:szCs w:val="22"/>
        </w:rPr>
        <w:t xml:space="preserve">The press-stream commitment forced by the §3.5 probe (Case 2 admits arbitrary δ_n within a range) is left implicit. A formal characterization of admissible press streams — independent draws? bounded second moment? — has not been stated and would tighten (E_diff) into a derivation rather than a generic-conditions statement.</w:t>
      </w:r>
    </w:p>
    <w:p>
      <w:r>
        <w:br w:type="page"/>
      </w:r>
    </w:p>
    <w:p>
      <w:pPr>
        <w:pStyle w:val="Heading1"/>
        <w:pBdr>
          <w:bottom w:val="single" w:color="0F1F3D" w:sz="8" w:space="4"/>
        </w:pBdr>
        <w:spacing w:after="200" w:before="480"/>
      </w:pPr>
      <w:r>
        <w:rPr>
          <w:rFonts w:ascii="Cambria" w:cs="Cambria" w:eastAsia="Cambria" w:hAnsi="Cambria"/>
          <w:b/>
          <w:bCs/>
          <w:color w:val="0F1F3D"/>
          <w:sz w:val="36"/>
          <w:szCs w:val="36"/>
        </w:rPr>
        <w:t xml:space="preserve">References</w:t>
      </w:r>
    </w:p>
    <w:p>
      <w:pPr>
        <w:spacing w:after="80" w:before="80" w:line="320"/>
        <w:jc w:val="left"/>
      </w:pPr>
      <w:r>
        <w:rPr>
          <w:rFonts w:ascii="Calibri" w:cs="Calibri" w:eastAsia="Calibri" w:hAnsi="Calibri"/>
          <w:b w:val="false"/>
          <w:bCs w:val="false"/>
          <w:i w:val="false"/>
          <w:iCs w:val="false"/>
          <w:color w:val="1A1A1A"/>
          <w:sz w:val="22"/>
          <w:szCs w:val="22"/>
        </w:rPr>
        <w:t xml:space="preserve">[1] Belous, I.  Encounter Field Theory: Construction 6, Self-Attractor Saddle Point Theorem.  The Mirror Platform LLC, March 2026.</w:t>
      </w:r>
    </w:p>
    <w:p>
      <w:pPr>
        <w:spacing w:after="80" w:before="80" w:line="320"/>
        <w:jc w:val="left"/>
      </w:pPr>
      <w:r>
        <w:rPr>
          <w:rFonts w:ascii="Calibri" w:cs="Calibri" w:eastAsia="Calibri" w:hAnsi="Calibri"/>
          <w:b w:val="false"/>
          <w:bCs w:val="false"/>
          <w:i w:val="false"/>
          <w:iCs w:val="false"/>
          <w:color w:val="1A1A1A"/>
          <w:sz w:val="22"/>
          <w:szCs w:val="22"/>
        </w:rPr>
        <w:t xml:space="preserve">[2] Belous, I.  Robertson Non-Commutativity of Discrimination Vector Fields on (M_n, g_total).  The Mirror Platform LLC, March 2026.</w:t>
      </w:r>
    </w:p>
    <w:p>
      <w:pPr>
        <w:spacing w:after="80" w:before="80" w:line="320"/>
        <w:jc w:val="left"/>
      </w:pPr>
      <w:r>
        <w:rPr>
          <w:rFonts w:ascii="Calibri" w:cs="Calibri" w:eastAsia="Calibri" w:hAnsi="Calibri"/>
          <w:b w:val="false"/>
          <w:bCs w:val="false"/>
          <w:i w:val="false"/>
          <w:iCs w:val="false"/>
          <w:color w:val="1A1A1A"/>
          <w:sz w:val="22"/>
          <w:szCs w:val="22"/>
        </w:rPr>
        <w:t xml:space="preserve">[3] Belous, I.  Ghost Floor Theorem (C-1) and Three-Component Significance Functional (C-3).  EFT Claims Registry, Pass 3, April 2026.</w:t>
      </w:r>
    </w:p>
    <w:p>
      <w:pPr>
        <w:spacing w:after="80" w:before="80" w:line="320"/>
        <w:jc w:val="left"/>
      </w:pPr>
      <w:r>
        <w:rPr>
          <w:rFonts w:ascii="Calibri" w:cs="Calibri" w:eastAsia="Calibri" w:hAnsi="Calibri"/>
          <w:b w:val="false"/>
          <w:bCs w:val="false"/>
          <w:i w:val="false"/>
          <w:iCs w:val="false"/>
          <w:color w:val="1A1A1A"/>
          <w:sz w:val="22"/>
          <w:szCs w:val="22"/>
        </w:rPr>
        <w:t xml:space="preserve">[4] Belous, I.  EFT Research Document 1: Baseline Learning Architecture, §7.1–§7.3 (E_p update rule, U(p) inventory, directed uncertainty reduction).  The Mirror Platform LLC, April 2026.</w:t>
      </w:r>
    </w:p>
    <w:p>
      <w:pPr>
        <w:spacing w:after="80" w:before="80" w:line="320"/>
        <w:jc w:val="left"/>
      </w:pPr>
      <w:r>
        <w:rPr>
          <w:rFonts w:ascii="Calibri" w:cs="Calibri" w:eastAsia="Calibri" w:hAnsi="Calibri"/>
          <w:b w:val="false"/>
          <w:bCs w:val="false"/>
          <w:i w:val="false"/>
          <w:iCs w:val="false"/>
          <w:color w:val="1A1A1A"/>
          <w:sz w:val="22"/>
          <w:szCs w:val="22"/>
        </w:rPr>
        <w:t xml:space="preserve">[5] Belous, I.  EFT Research Document 4: Encounter Program (SRP-E1 through SRP-E6).  The Mirror Platform LLC, April 2026.</w:t>
      </w:r>
    </w:p>
    <w:p>
      <w:pPr>
        <w:spacing w:after="80" w:before="80" w:line="320"/>
        <w:jc w:val="left"/>
      </w:pPr>
      <w:r>
        <w:rPr>
          <w:rFonts w:ascii="Calibri" w:cs="Calibri" w:eastAsia="Calibri" w:hAnsi="Calibri"/>
          <w:b w:val="false"/>
          <w:bCs w:val="false"/>
          <w:i w:val="false"/>
          <w:iCs w:val="false"/>
          <w:color w:val="1A1A1A"/>
          <w:sz w:val="22"/>
          <w:szCs w:val="22"/>
        </w:rPr>
        <w:t xml:space="preserve">[6] Belous, I.  EFT Build Plan v2: Encounter Interaction Layer.  EncounterEvent dataclass, three co-transformation outputs (ΔM⁵, ΔΣ, ΔC(t)).  April 2026.</w:t>
      </w:r>
    </w:p>
    <w:p>
      <w:pPr>
        <w:spacing w:after="80" w:before="80" w:line="320"/>
        <w:jc w:val="left"/>
      </w:pPr>
      <w:r>
        <w:rPr>
          <w:rFonts w:ascii="Calibri" w:cs="Calibri" w:eastAsia="Calibri" w:hAnsi="Calibri"/>
          <w:b w:val="false"/>
          <w:bCs w:val="false"/>
          <w:i w:val="false"/>
          <w:iCs w:val="false"/>
          <w:color w:val="1A1A1A"/>
          <w:sz w:val="22"/>
          <w:szCs w:val="22"/>
        </w:rPr>
        <w:t xml:space="preserve">[7] Belous, I.  EFT Willingness Theory Handoff and Complete Scope.  Six regions, ~30 strands, four-belief-moments-plus-coupling, minimum mimic.  April 2026.</w:t>
      </w:r>
    </w:p>
    <w:p>
      <w:pPr>
        <w:spacing w:after="80" w:before="80" w:line="320"/>
        <w:jc w:val="left"/>
      </w:pPr>
      <w:r>
        <w:rPr>
          <w:rFonts w:ascii="Calibri" w:cs="Calibri" w:eastAsia="Calibri" w:hAnsi="Calibri"/>
          <w:b w:val="false"/>
          <w:bCs w:val="false"/>
          <w:i w:val="false"/>
          <w:iCs w:val="false"/>
          <w:color w:val="1A1A1A"/>
          <w:sz w:val="22"/>
          <w:szCs w:val="22"/>
        </w:rPr>
        <w:t xml:space="preserve">[8] Belous, I.  EFT Conditional Encounter Environment (eft_encounter_env.py) — typed existence-press, R₁–R₅ receivability, C(t) commensurability gate.  April 2026.</w:t>
      </w:r>
    </w:p>
    <w:p>
      <w:pPr>
        <w:spacing w:after="80" w:before="80" w:line="320"/>
        <w:jc w:val="left"/>
      </w:pPr>
      <w:r>
        <w:rPr>
          <w:rFonts w:ascii="Calibri" w:cs="Calibri" w:eastAsia="Calibri" w:hAnsi="Calibri"/>
          <w:b w:val="false"/>
          <w:bCs w:val="false"/>
          <w:i w:val="false"/>
          <w:iCs w:val="false"/>
          <w:color w:val="1A1A1A"/>
          <w:sz w:val="22"/>
          <w:szCs w:val="22"/>
        </w:rPr>
        <w:t xml:space="preserve">[9] Belous, I.  Bracket-Generating Theorem M3 and Engel Geometry as Native (G-3, G-4).  EFT Claims Registry.  March–April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  The Mirror Platform LLC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8A8A8A"/>
        <w:sz w:val="18"/>
        <w:szCs w:val="18"/>
      </w:rPr>
      <w:t xml:space="preserve">EFT — Result D-1 — Encounter-Admissible Deformation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color w:val="0F1F3D"/>
      <w:sz w:val="36"/>
      <w:szCs w:val="36"/>
    </w:rPr>
  </w:style>
  <w:style w:type="paragraph" w:styleId="Heading2">
    <w:name w:val="Heading 2"/>
    <w:basedOn w:val="Normal"/>
    <w:next w:val="Normal"/>
    <w:qFormat/>
    <w:pPr>
      <w:spacing w:after="140" w:before="320"/>
      <w:outlineLvl w:val="1"/>
    </w:pPr>
    <w:rPr>
      <w:rFonts w:ascii="Cambria" w:cs="Cambria" w:eastAsia="Cambria" w:hAnsi="Cambria"/>
      <w:b/>
      <w:bCs/>
      <w:color w:val="0F1F3D"/>
      <w:sz w:val="28"/>
      <w:szCs w:val="28"/>
    </w:rPr>
  </w:style>
  <w:style w:type="paragraph" w:styleId="Heading3">
    <w:name w:val="Heading 3"/>
    <w:basedOn w:val="Normal"/>
    <w:next w:val="Normal"/>
    <w:qFormat/>
    <w:pPr>
      <w:spacing w:after="100" w:before="240"/>
      <w:outlineLvl w:val="2"/>
    </w:pPr>
    <w:rPr>
      <w:rFonts w:ascii="Cambria" w:cs="Cambria" w:eastAsia="Cambria" w:hAnsi="Cambria"/>
      <w:b/>
      <w:bCs/>
      <w:color w:val="1A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Definition of Encounter-Admissible Deformation</dc:title>
  <dc:creator>Ilya Belous</dc:creator>
  <cp:lastModifiedBy>Un-named</cp:lastModifiedBy>
  <cp:revision>1</cp:revision>
  <dcterms:created xsi:type="dcterms:W3CDTF">2026-04-26T01:46:42.016Z</dcterms:created>
  <dcterms:modified xsi:type="dcterms:W3CDTF">2026-04-26T01:46:42.017Z</dcterms:modified>
</cp:coreProperties>
</file>

<file path=docProps/custom.xml><?xml version="1.0" encoding="utf-8"?>
<Properties xmlns="http://schemas.openxmlformats.org/officeDocument/2006/custom-properties" xmlns:vt="http://schemas.openxmlformats.org/officeDocument/2006/docPropsVTypes"/>
</file>