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3864"/>
          <w:sz w:val="32"/>
          <w:szCs w:val="32"/>
        </w:rPr>
        <w:t xml:space="preserve">RANGKAIAN PROSES PENGGAJIAN MANUAL</w:t>
      </w:r>
    </w:p>
    <w:p>
      <w:pPr>
        <w:spacing w:after="60" w:before="0"/>
        <w:jc w:val="center"/>
      </w:pPr>
      <w:r>
        <w:rPr>
          <w:rFonts w:ascii="Arial" w:cs="Arial" w:eastAsia="Arial" w:hAnsi="Arial"/>
          <w:color w:val="2E4A8B"/>
          <w:sz w:val="24"/>
          <w:szCs w:val="24"/>
        </w:rPr>
        <w:t xml:space="preserve">SMK PSKD 3 Jakarta</w:t>
      </w:r>
    </w:p>
    <w:p>
      <w:pPr>
        <w:spacing w:after="400" w:before="0"/>
        <w:jc w:val="center"/>
      </w:pPr>
      <w:r>
        <w:rPr>
          <w:rFonts w:ascii="Arial" w:cs="Arial" w:eastAsia="Arial" w:hAnsi="Arial"/>
          <w:i/>
          <w:iCs/>
          <w:color w:val="888888"/>
          <w:sz w:val="20"/>
          <w:szCs w:val="20"/>
        </w:rPr>
        <w:t xml:space="preserve">Dokumen Analisis Sistem | Adam Wahyu Kurniawan | NPM 202343500510</w:t>
      </w:r>
    </w:p>
    <w:p>
      <w:pPr>
        <w:pBdr>
          <w:bottom w:val="single" w:color="CCCCCC" w:sz="4"/>
        </w:pBdr>
        <w:spacing w:after="120" w:before="120"/>
      </w:pPr>
    </w:p>
    <w:p>
      <w:pPr>
        <w:pStyle w:val="Heading1"/>
        <w:spacing w:after="180" w:before="360"/>
      </w:pPr>
      <w:r>
        <w:rPr>
          <w:rFonts w:ascii="Arial" w:cs="Arial" w:eastAsia="Arial" w:hAnsi="Arial"/>
          <w:b/>
          <w:bCs/>
          <w:color w:val="1F3864"/>
          <w:sz w:val="28"/>
          <w:szCs w:val="28"/>
        </w:rPr>
        <w:t xml:space="preserve">1. Gambaran Umum</w:t>
      </w:r>
    </w:p>
    <w:p>
      <w:pPr>
        <w:spacing w:after="80" w:before="80"/>
        <w:jc w:val="both"/>
      </w:pPr>
      <w:r>
        <w:rPr>
          <w:rFonts w:ascii="Arial" w:cs="Arial" w:eastAsia="Arial" w:hAnsi="Arial"/>
          <w:sz w:val="22"/>
          <w:szCs w:val="22"/>
        </w:rPr>
        <w:t xml:space="preserve">Proses penggajian di SMK PSKD 3 Jakarta dilakukan secara manual setiap bulan menggunakan template Excel yang sudah disediakan oleh kantor pusat. Proses ini melibatkan tiga pihak, yaitu Pak Rendy (rekap absensi), Pak Thomas (pengecekan dan persetujuan), dan staf penggajian (pengerjaan gaji).</w:t>
      </w:r>
    </w:p>
    <w:p>
      <w:pPr>
        <w:spacing w:after="80" w:before="80"/>
        <w:jc w:val="both"/>
      </w:pPr>
      <w:r>
        <w:rPr>
          <w:rFonts w:ascii="Arial" w:cs="Arial" w:eastAsia="Arial" w:hAnsi="Arial"/>
          <w:sz w:val="22"/>
          <w:szCs w:val="22"/>
        </w:rPr>
        <w:t xml:space="preserve">Sistem ini menggunakan metode cut-off tanggal 16 setiap bulan sebagai batas perhitungan absensi.</w:t>
      </w:r>
    </w:p>
    <w:p>
      <w:pPr>
        <w:spacing w:after="100" w:before="200"/>
      </w:pPr>
      <w:r>
        <w:rPr>
          <w:rFonts w:ascii="Arial" w:cs="Arial" w:eastAsia="Arial" w:hAnsi="Arial"/>
          <w:b/>
          <w:bCs/>
          <w:sz w:val="22"/>
          <w:szCs w:val="22"/>
        </w:rPr>
        <w:t xml:space="preserve">Contoh Periode Cut-off:</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Bulan Gaji</w:t>
            </w:r>
          </w:p>
        </w:tc>
        <w:tc>
          <w:tcPr>
            <w:tcW w:type="dxa" w:w="2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Awal Periode</w:t>
            </w:r>
          </w:p>
        </w:tc>
        <w:tc>
          <w:tcPr>
            <w:tcW w:type="dxa" w:w="2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Akhir Periode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April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16 Maret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16 April</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pPr>
              <w:jc w:val="center"/>
            </w:pPr>
            <w:r>
              <w:rPr>
                <w:rFonts w:ascii="Arial" w:cs="Arial" w:eastAsia="Arial" w:hAnsi="Arial"/>
                <w:sz w:val="20"/>
                <w:szCs w:val="20"/>
              </w:rPr>
              <w:t xml:space="preserve">Mei</w:t>
            </w:r>
          </w:p>
        </w:tc>
        <w:tc>
          <w:tcPr>
            <w:tcW w:type="dxa" w:w="25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pPr>
              <w:jc w:val="center"/>
            </w:pPr>
            <w:r>
              <w:rPr>
                <w:rFonts w:ascii="Arial" w:cs="Arial" w:eastAsia="Arial" w:hAnsi="Arial"/>
                <w:sz w:val="20"/>
                <w:szCs w:val="20"/>
              </w:rPr>
              <w:t xml:space="preserve">16 April</w:t>
            </w:r>
          </w:p>
        </w:tc>
        <w:tc>
          <w:tcPr>
            <w:tcW w:type="dxa" w:w="25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pPr>
              <w:jc w:val="center"/>
            </w:pPr>
            <w:r>
              <w:rPr>
                <w:rFonts w:ascii="Arial" w:cs="Arial" w:eastAsia="Arial" w:hAnsi="Arial"/>
                <w:sz w:val="20"/>
                <w:szCs w:val="20"/>
              </w:rPr>
              <w:t xml:space="preserve">16 Mei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Juni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16 Mei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16 Juni</w:t>
            </w:r>
          </w:p>
        </w:tc>
      </w:tr>
    </w:tbl>
    <w:p>
      <w:pPr>
        <w:spacing w:before="300"/>
      </w:pPr>
    </w:p>
    <w:p>
      <w:pPr>
        <w:pBdr>
          <w:bottom w:val="single" w:color="CCCCCC" w:sz="4"/>
        </w:pBdr>
        <w:spacing w:after="120" w:before="120"/>
      </w:pPr>
    </w:p>
    <w:p>
      <w:pPr>
        <w:pStyle w:val="Heading1"/>
        <w:spacing w:after="180" w:before="360"/>
      </w:pPr>
      <w:r>
        <w:rPr>
          <w:rFonts w:ascii="Arial" w:cs="Arial" w:eastAsia="Arial" w:hAnsi="Arial"/>
          <w:b/>
          <w:bCs/>
          <w:color w:val="1F3864"/>
          <w:sz w:val="28"/>
          <w:szCs w:val="28"/>
        </w:rPr>
        <w:t xml:space="preserve">2. Alur Proses Penggajian</w:t>
      </w:r>
    </w:p>
    <w:p>
      <w:pPr>
        <w:pStyle w:val="Heading2"/>
        <w:spacing w:after="120" w:before="240"/>
      </w:pPr>
      <w:r>
        <w:rPr>
          <w:rFonts w:ascii="Arial" w:cs="Arial" w:eastAsia="Arial" w:hAnsi="Arial"/>
          <w:b/>
          <w:bCs/>
          <w:color w:val="2E4A8B"/>
          <w:sz w:val="24"/>
          <w:szCs w:val="24"/>
        </w:rPr>
        <w:t xml:space="preserve">Langkah 1 — Rekap Absensi (Pak Rendy)</w:t>
      </w:r>
    </w:p>
    <w:p>
      <w:pPr>
        <w:spacing w:after="80" w:before="80"/>
        <w:jc w:val="both"/>
      </w:pPr>
      <w:r>
        <w:rPr>
          <w:rFonts w:ascii="Arial" w:cs="Arial" w:eastAsia="Arial" w:hAnsi="Arial"/>
          <w:sz w:val="22"/>
          <w:szCs w:val="22"/>
        </w:rPr>
        <w:t xml:space="preserve">Setiap tanggal 16, Pak Rendy merekap data kehadiran seluruh guru dan karyawan dalam bentuk file Excel. Data kehadiran inilah yang menjadi dasar perhitungan gaji pada periode tersebut.</w:t>
      </w:r>
    </w:p>
    <w:p>
      <w:pPr>
        <w:pStyle w:val="Heading2"/>
        <w:spacing w:after="120" w:before="240"/>
      </w:pPr>
      <w:r>
        <w:rPr>
          <w:rFonts w:ascii="Arial" w:cs="Arial" w:eastAsia="Arial" w:hAnsi="Arial"/>
          <w:b/>
          <w:bCs/>
          <w:color w:val="2E4A8B"/>
          <w:sz w:val="24"/>
          <w:szCs w:val="24"/>
        </w:rPr>
        <w:t xml:space="preserve">Langkah 2 — Pengecekan &amp; Persetujuan (Pak Thomas)</w:t>
      </w:r>
    </w:p>
    <w:p>
      <w:pPr>
        <w:spacing w:after="80" w:before="80"/>
        <w:jc w:val="both"/>
      </w:pPr>
      <w:r>
        <w:rPr>
          <w:rFonts w:ascii="Arial" w:cs="Arial" w:eastAsia="Arial" w:hAnsi="Arial"/>
          <w:sz w:val="22"/>
          <w:szCs w:val="22"/>
        </w:rPr>
        <w:t xml:space="preserve">Rekap absensi dari Pak Rendy diserahkan kepada Pak Thomas untuk diperiksa dan disetujui. Pak Thomas juga memiliki wewenang atas besaran tunjangan jabatan masing-masing guru dan karyawan. Proses penggajian tidak dapat dilanjutkan sebelum ada persetujuan dari Pak Thomas.</w:t>
      </w:r>
    </w:p>
    <w:p>
      <w:pPr>
        <w:pStyle w:val="Heading2"/>
        <w:spacing w:after="120" w:before="240"/>
      </w:pPr>
      <w:r>
        <w:rPr>
          <w:rFonts w:ascii="Arial" w:cs="Arial" w:eastAsia="Arial" w:hAnsi="Arial"/>
          <w:b/>
          <w:bCs/>
          <w:color w:val="2E4A8B"/>
          <w:sz w:val="24"/>
          <w:szCs w:val="24"/>
        </w:rPr>
        <w:t xml:space="preserve">Langkah 3 — Pengerjaan Gaji (Staf Penggajian)</w:t>
      </w:r>
    </w:p>
    <w:p>
      <w:pPr>
        <w:spacing w:after="80" w:before="80"/>
        <w:jc w:val="both"/>
      </w:pPr>
      <w:r>
        <w:rPr>
          <w:rFonts w:ascii="Arial" w:cs="Arial" w:eastAsia="Arial" w:hAnsi="Arial"/>
          <w:sz w:val="22"/>
          <w:szCs w:val="22"/>
        </w:rPr>
        <w:t xml:space="preserve">Setelah disetujui, data diserahkan ke staf penggajian untuk diisi ke dalam template Excel dari pusat. Template ini terdiri dari tiga bagian:</w:t>
      </w:r>
    </w:p>
    <w:p>
      <w:pPr>
        <w:pStyle w:val="ListParagraph"/>
        <w:numPr>
          <w:ilvl w:val="0"/>
          <w:numId w:val="2"/>
        </w:numPr>
        <w:spacing w:after="60" w:before="60"/>
      </w:pPr>
      <w:r>
        <w:rPr>
          <w:rFonts w:ascii="Arial" w:cs="Arial" w:eastAsia="Arial" w:hAnsi="Arial"/>
          <w:sz w:val="22"/>
          <w:szCs w:val="22"/>
        </w:rPr>
        <w:t xml:space="preserve">Jam Lebih — dihitung per hari, jumlahnya berbeda-beda tiap guru dan karyawan</w:t>
      </w:r>
    </w:p>
    <w:p>
      <w:pPr>
        <w:pStyle w:val="ListParagraph"/>
        <w:numPr>
          <w:ilvl w:val="0"/>
          <w:numId w:val="2"/>
        </w:numPr>
        <w:spacing w:after="60" w:before="60"/>
      </w:pPr>
      <w:r>
        <w:rPr>
          <w:rFonts w:ascii="Arial" w:cs="Arial" w:eastAsia="Arial" w:hAnsi="Arial"/>
          <w:sz w:val="22"/>
          <w:szCs w:val="22"/>
        </w:rPr>
        <w:t xml:space="preserve">Tunjangan — berdasarkan jabatan dan hasil jam lebih, nilainya sudah ditentukan oleh Pak Thomas dan pusat</w:t>
      </w:r>
    </w:p>
    <w:p>
      <w:pPr>
        <w:pStyle w:val="ListParagraph"/>
        <w:numPr>
          <w:ilvl w:val="0"/>
          <w:numId w:val="2"/>
        </w:numPr>
        <w:spacing w:after="60" w:before="60"/>
      </w:pPr>
      <w:r>
        <w:rPr>
          <w:rFonts w:ascii="Arial" w:cs="Arial" w:eastAsia="Arial" w:hAnsi="Arial"/>
          <w:sz w:val="22"/>
          <w:szCs w:val="22"/>
        </w:rPr>
        <w:t xml:space="preserve">Rekap — ringkasan akhir yang menggabungkan kehadiran dan tunjangan tiap individu</w:t>
      </w:r>
    </w:p>
    <w:p>
      <w:pPr>
        <w:spacing w:before="300"/>
      </w:pPr>
    </w:p>
    <w:p>
      <w:pPr>
        <w:pBdr>
          <w:bottom w:val="single" w:color="CCCCCC" w:sz="4"/>
        </w:pBdr>
        <w:spacing w:after="120" w:before="120"/>
      </w:pPr>
    </w:p>
    <w:p>
      <w:pPr>
        <w:pStyle w:val="Heading1"/>
        <w:spacing w:after="180" w:before="360"/>
      </w:pPr>
      <w:r>
        <w:rPr>
          <w:rFonts w:ascii="Arial" w:cs="Arial" w:eastAsia="Arial" w:hAnsi="Arial"/>
          <w:b/>
          <w:bCs/>
          <w:color w:val="1F3864"/>
          <w:sz w:val="28"/>
          <w:szCs w:val="28"/>
        </w:rPr>
        <w:t xml:space="preserve">3. Diagram Alur Proses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2000"/>
        <w:gridCol w:w="500"/>
        <w:gridCol w:w="2000"/>
        <w:gridCol w:w="500"/>
        <w:gridCol w:w="1500"/>
      </w:tblGrid>
      <w:tr>
        <w:tc>
          <w:tcPr>
            <w:tcW w:type="dxa" w:w="2000"/>
            <w:tcBorders>
              <w:top w:val="single" w:color="1F3864" w:sz="1"/>
              <w:left w:val="single" w:color="1F3864" w:sz="1"/>
              <w:bottom w:val="single" w:color="1F3864" w:sz="1"/>
              <w:right w:val="single" w:color="1F3864" w:sz="1"/>
            </w:tcBorders>
            <w:shd w:fill="1F3864" w:val="clear"/>
            <w:tcMar>
              <w:top w:type="dxa" w:w="150"/>
              <w:left w:type="dxa" w:w="150"/>
              <w:bottom w:type="dxa" w:w="150"/>
              <w:right w:type="dxa" w:w="150"/>
            </w:tcMar>
          </w:tcPr>
          <w:p>
            <w:pPr>
              <w:jc w:val="center"/>
            </w:pPr>
            <w:r>
              <w:rPr>
                <w:rFonts w:ascii="Arial" w:cs="Arial" w:eastAsia="Arial" w:hAnsi="Arial"/>
                <w:b/>
                <w:bCs/>
                <w:color w:val="FFFFFF"/>
                <w:sz w:val="20"/>
                <w:szCs w:val="20"/>
              </w:rPr>
              <w:t xml:space="preserve">Cut-off Absen</w:t>
            </w:r>
          </w:p>
          <w:p>
            <w:pPr>
              <w:jc w:val="center"/>
            </w:pPr>
            <w:r>
              <w:rPr>
                <w:rFonts w:ascii="Arial" w:cs="Arial" w:eastAsia="Arial" w:hAnsi="Arial"/>
                <w:color w:val="CCDDFF"/>
                <w:sz w:val="18"/>
                <w:szCs w:val="18"/>
              </w:rPr>
              <w:t xml:space="preserve">Tanggal 16</w:t>
            </w:r>
          </w:p>
        </w:tc>
        <w:tc>
          <w:tcPr>
            <w:tcW w:type="dxa" w:w="500"/>
            <w:tcBorders>
              <w:top w:val="single" w:color="CCCCCC" w:sz="1"/>
              <w:left w:val="single" w:color="CCCCCC" w:sz="1"/>
              <w:bottom w:val="single" w:color="CCCCCC" w:sz="1"/>
              <w:right w:val="single" w:color="CCCCCC" w:sz="1"/>
            </w:tcBorders>
            <w:tcMar>
              <w:top w:type="dxa" w:w="150"/>
              <w:left w:type="dxa" w:w="50"/>
              <w:bottom w:type="dxa" w:w="150"/>
              <w:right w:type="dxa" w:w="50"/>
            </w:tcMar>
          </w:tcPr>
          <w:p>
            <w:pPr>
              <w:jc w:val="center"/>
            </w:pPr>
            <w:r>
              <w:rPr>
                <w:rFonts w:ascii="Arial" w:cs="Arial" w:eastAsia="Arial" w:hAnsi="Arial"/>
                <w:b/>
                <w:bCs/>
                <w:color w:val="2E4A8B"/>
                <w:sz w:val="28"/>
                <w:szCs w:val="28"/>
              </w:rPr>
              <w:t xml:space="preserve">→</w:t>
            </w:r>
          </w:p>
        </w:tc>
        <w:tc>
          <w:tcPr>
            <w:tcW w:type="dxa" w:w="2000"/>
            <w:tcBorders>
              <w:top w:val="single" w:color="1F3864" w:sz="1"/>
              <w:left w:val="single" w:color="1F3864" w:sz="1"/>
              <w:bottom w:val="single" w:color="1F3864" w:sz="1"/>
              <w:right w:val="single" w:color="1F3864" w:sz="1"/>
            </w:tcBorders>
            <w:shd w:fill="2E4A8B" w:val="clear"/>
            <w:tcMar>
              <w:top w:type="dxa" w:w="150"/>
              <w:left w:type="dxa" w:w="150"/>
              <w:bottom w:type="dxa" w:w="150"/>
              <w:right w:type="dxa" w:w="150"/>
            </w:tcMar>
          </w:tcPr>
          <w:p>
            <w:pPr>
              <w:jc w:val="center"/>
            </w:pPr>
            <w:r>
              <w:rPr>
                <w:rFonts w:ascii="Arial" w:cs="Arial" w:eastAsia="Arial" w:hAnsi="Arial"/>
                <w:b/>
                <w:bCs/>
                <w:color w:val="FFFFFF"/>
                <w:sz w:val="20"/>
                <w:szCs w:val="20"/>
              </w:rPr>
              <w:t xml:space="preserve">Rekap Absensi</w:t>
            </w:r>
          </w:p>
          <w:p>
            <w:pPr>
              <w:jc w:val="center"/>
            </w:pPr>
            <w:r>
              <w:rPr>
                <w:rFonts w:ascii="Arial" w:cs="Arial" w:eastAsia="Arial" w:hAnsi="Arial"/>
                <w:color w:val="CCDDFF"/>
                <w:sz w:val="18"/>
                <w:szCs w:val="18"/>
              </w:rPr>
              <w:t xml:space="preserve">Pak Rendy</w:t>
            </w:r>
          </w:p>
        </w:tc>
        <w:tc>
          <w:tcPr>
            <w:tcW w:type="dxa" w:w="500"/>
            <w:tcBorders>
              <w:top w:val="single" w:color="CCCCCC" w:sz="1"/>
              <w:left w:val="single" w:color="CCCCCC" w:sz="1"/>
              <w:bottom w:val="single" w:color="CCCCCC" w:sz="1"/>
              <w:right w:val="single" w:color="CCCCCC" w:sz="1"/>
            </w:tcBorders>
            <w:tcMar>
              <w:top w:type="dxa" w:w="150"/>
              <w:left w:type="dxa" w:w="50"/>
              <w:bottom w:type="dxa" w:w="150"/>
              <w:right w:type="dxa" w:w="50"/>
            </w:tcMar>
          </w:tcPr>
          <w:p>
            <w:pPr>
              <w:jc w:val="center"/>
            </w:pPr>
            <w:r>
              <w:rPr>
                <w:rFonts w:ascii="Arial" w:cs="Arial" w:eastAsia="Arial" w:hAnsi="Arial"/>
                <w:b/>
                <w:bCs/>
                <w:color w:val="2E4A8B"/>
                <w:sz w:val="28"/>
                <w:szCs w:val="28"/>
              </w:rPr>
              <w:t xml:space="preserve">→</w:t>
            </w:r>
          </w:p>
        </w:tc>
        <w:tc>
          <w:tcPr>
            <w:tcW w:type="dxa" w:w="2000"/>
            <w:tcBorders>
              <w:top w:val="single" w:color="1F3864" w:sz="1"/>
              <w:left w:val="single" w:color="1F3864" w:sz="1"/>
              <w:bottom w:val="single" w:color="1F3864" w:sz="1"/>
              <w:right w:val="single" w:color="1F3864" w:sz="1"/>
            </w:tcBorders>
            <w:shd w:fill="3A7CA5" w:val="clear"/>
            <w:tcMar>
              <w:top w:type="dxa" w:w="150"/>
              <w:left w:type="dxa" w:w="150"/>
              <w:bottom w:type="dxa" w:w="150"/>
              <w:right w:type="dxa" w:w="150"/>
            </w:tcMar>
          </w:tcPr>
          <w:p>
            <w:pPr>
              <w:jc w:val="center"/>
            </w:pPr>
            <w:r>
              <w:rPr>
                <w:rFonts w:ascii="Arial" w:cs="Arial" w:eastAsia="Arial" w:hAnsi="Arial"/>
                <w:b/>
                <w:bCs/>
                <w:color w:val="FFFFFF"/>
                <w:sz w:val="20"/>
                <w:szCs w:val="20"/>
              </w:rPr>
              <w:t xml:space="preserve">Cek &amp; Approve</w:t>
            </w:r>
          </w:p>
          <w:p>
            <w:pPr>
              <w:jc w:val="center"/>
            </w:pPr>
            <w:r>
              <w:rPr>
                <w:rFonts w:ascii="Arial" w:cs="Arial" w:eastAsia="Arial" w:hAnsi="Arial"/>
                <w:color w:val="CCDDFF"/>
                <w:sz w:val="18"/>
                <w:szCs w:val="18"/>
              </w:rPr>
              <w:t xml:space="preserve">Pak Thomas</w:t>
            </w:r>
          </w:p>
        </w:tc>
        <w:tc>
          <w:tcPr>
            <w:tcW w:type="dxa" w:w="500"/>
            <w:tcBorders>
              <w:top w:val="single" w:color="CCCCCC" w:sz="1"/>
              <w:left w:val="single" w:color="CCCCCC" w:sz="1"/>
              <w:bottom w:val="single" w:color="CCCCCC" w:sz="1"/>
              <w:right w:val="single" w:color="CCCCCC" w:sz="1"/>
            </w:tcBorders>
            <w:tcMar>
              <w:top w:type="dxa" w:w="150"/>
              <w:left w:type="dxa" w:w="50"/>
              <w:bottom w:type="dxa" w:w="150"/>
              <w:right w:type="dxa" w:w="50"/>
            </w:tcMar>
          </w:tcPr>
          <w:p>
            <w:pPr>
              <w:jc w:val="center"/>
            </w:pPr>
            <w:r>
              <w:rPr>
                <w:rFonts w:ascii="Arial" w:cs="Arial" w:eastAsia="Arial" w:hAnsi="Arial"/>
                <w:b/>
                <w:bCs/>
                <w:color w:val="2E4A8B"/>
                <w:sz w:val="28"/>
                <w:szCs w:val="28"/>
              </w:rPr>
              <w:t xml:space="preserve">→</w:t>
            </w:r>
          </w:p>
        </w:tc>
        <w:tc>
          <w:tcPr>
            <w:tcW w:type="dxa" w:w="1500"/>
            <w:tcBorders>
              <w:top w:val="single" w:color="1F3864" w:sz="1"/>
              <w:left w:val="single" w:color="1F3864" w:sz="1"/>
              <w:bottom w:val="single" w:color="1F3864" w:sz="1"/>
              <w:right w:val="single" w:color="1F3864" w:sz="1"/>
            </w:tcBorders>
            <w:shd w:fill="217A4B" w:val="clear"/>
            <w:tcMar>
              <w:top w:type="dxa" w:w="150"/>
              <w:left w:type="dxa" w:w="150"/>
              <w:bottom w:type="dxa" w:w="150"/>
              <w:right w:type="dxa" w:w="150"/>
            </w:tcMar>
          </w:tcPr>
          <w:p>
            <w:pPr>
              <w:jc w:val="center"/>
            </w:pPr>
            <w:r>
              <w:rPr>
                <w:rFonts w:ascii="Arial" w:cs="Arial" w:eastAsia="Arial" w:hAnsi="Arial"/>
                <w:b/>
                <w:bCs/>
                <w:color w:val="FFFFFF"/>
                <w:sz w:val="20"/>
                <w:szCs w:val="20"/>
              </w:rPr>
              <w:t xml:space="preserve">Proses Gaji</w:t>
            </w:r>
          </w:p>
          <w:p>
            <w:pPr>
              <w:jc w:val="center"/>
            </w:pPr>
            <w:r>
              <w:rPr>
                <w:rFonts w:ascii="Arial" w:cs="Arial" w:eastAsia="Arial" w:hAnsi="Arial"/>
                <w:color w:val="AAFFCC"/>
                <w:sz w:val="18"/>
                <w:szCs w:val="18"/>
              </w:rPr>
              <w:t xml:space="preserve">Staf</w:t>
            </w:r>
          </w:p>
        </w:tc>
      </w:tr>
    </w:tbl>
    <w:p>
      <w:pPr>
        <w:spacing w:before="300"/>
      </w:pPr>
    </w:p>
    <w:p>
      <w:pPr>
        <w:pBdr>
          <w:bottom w:val="single" w:color="CCCCCC" w:sz="4"/>
        </w:pBdr>
        <w:spacing w:after="120" w:before="120"/>
      </w:pPr>
    </w:p>
    <w:p>
      <w:pPr>
        <w:pStyle w:val="Heading1"/>
        <w:spacing w:after="180" w:before="360"/>
      </w:pPr>
      <w:r>
        <w:rPr>
          <w:rFonts w:ascii="Arial" w:cs="Arial" w:eastAsia="Arial" w:hAnsi="Arial"/>
          <w:b/>
          <w:bCs/>
          <w:color w:val="1F3864"/>
          <w:sz w:val="28"/>
          <w:szCs w:val="28"/>
        </w:rPr>
        <w:t xml:space="preserve">4. Data yang Dibutuhkan</w:t>
      </w:r>
    </w:p>
    <w:p>
      <w:pPr>
        <w:spacing w:after="80" w:before="80"/>
        <w:jc w:val="both"/>
      </w:pPr>
      <w:r>
        <w:rPr>
          <w:rFonts w:ascii="Arial" w:cs="Arial" w:eastAsia="Arial" w:hAnsi="Arial"/>
          <w:sz w:val="22"/>
          <w:szCs w:val="22"/>
        </w:rPr>
        <w:t xml:space="preserve">Berdasarkan hasil wawancara, berikut data yang benar-benar dibutuhkan dalam proses penggajian. Perlu diperhatikan bahwa gaji pokok dan tunjangan jabatan sudah ditentukan dari pusat dan Pak Thomas, bukan dihitung bebas oleh staf.</w:t>
      </w:r>
    </w:p>
    <w:p>
      <w:pPr>
        <w:spacing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5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Data</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Keterangan</w:t>
            </w:r>
          </w:p>
        </w:tc>
        <w:tc>
          <w:tcPr>
            <w:tcW w:type="dxa" w:w="2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Sumber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Kehadiran Guru &amp; Karyawan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Data absensi per periode cut-off, format Excel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Pak Rendy</w:t>
            </w:r>
          </w:p>
        </w:tc>
      </w:tr>
      <w:tr>
        <w:tc>
          <w:tcPr>
            <w:tcW w:type="dxa" w:w="5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pPr>
              <w:jc w:val="center"/>
            </w:pPr>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pPr>
              <w:jc w:val="left"/>
            </w:pPr>
            <w:r>
              <w:rPr>
                <w:rFonts w:ascii="Arial" w:cs="Arial" w:eastAsia="Arial" w:hAnsi="Arial"/>
                <w:sz w:val="20"/>
                <w:szCs w:val="20"/>
              </w:rPr>
              <w:t xml:space="preserve">Gaji Pokok</w:t>
            </w:r>
          </w:p>
        </w:tc>
        <w:tc>
          <w:tcPr>
            <w:tcW w:type="dxa" w:w="32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pPr>
              <w:jc w:val="left"/>
            </w:pPr>
            <w:r>
              <w:rPr>
                <w:rFonts w:ascii="Arial" w:cs="Arial" w:eastAsia="Arial" w:hAnsi="Arial"/>
                <w:sz w:val="20"/>
                <w:szCs w:val="20"/>
              </w:rPr>
              <w:t xml:space="preserve">Sudah ditetapkan, tidak dihitung manual oleh staf</w:t>
            </w:r>
          </w:p>
        </w:tc>
        <w:tc>
          <w:tcPr>
            <w:tcW w:type="dxa" w:w="25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pPr>
              <w:jc w:val="left"/>
            </w:pPr>
            <w:r>
              <w:rPr>
                <w:rFonts w:ascii="Arial" w:cs="Arial" w:eastAsia="Arial" w:hAnsi="Arial"/>
                <w:sz w:val="20"/>
                <w:szCs w:val="20"/>
              </w:rPr>
              <w:t xml:space="preserve">Kantor Pusat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Tunjangan Jabatan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Besaran sesuai jabatan, wewenang Pak Thomas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Pak Thomas</w:t>
            </w:r>
          </w:p>
        </w:tc>
      </w:tr>
      <w:tr>
        <w:tc>
          <w:tcPr>
            <w:tcW w:type="dxa" w:w="5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pPr>
              <w:jc w:val="center"/>
            </w:pPr>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pPr>
              <w:jc w:val="left"/>
            </w:pPr>
            <w:r>
              <w:rPr>
                <w:rFonts w:ascii="Arial" w:cs="Arial" w:eastAsia="Arial" w:hAnsi="Arial"/>
                <w:sz w:val="20"/>
                <w:szCs w:val="20"/>
              </w:rPr>
              <w:t xml:space="preserve">Jam Lebih</w:t>
            </w:r>
          </w:p>
        </w:tc>
        <w:tc>
          <w:tcPr>
            <w:tcW w:type="dxa" w:w="32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pPr>
              <w:jc w:val="left"/>
            </w:pPr>
            <w:r>
              <w:rPr>
                <w:rFonts w:ascii="Arial" w:cs="Arial" w:eastAsia="Arial" w:hAnsi="Arial"/>
                <w:sz w:val="20"/>
                <w:szCs w:val="20"/>
              </w:rPr>
              <w:t xml:space="preserve">Dihitung per hari, jumlah berbeda tiap individu</w:t>
            </w:r>
          </w:p>
        </w:tc>
        <w:tc>
          <w:tcPr>
            <w:tcW w:type="dxa" w:w="2500"/>
            <w:tcBorders>
              <w:top w:val="single" w:color="CCCCCC" w:sz="1"/>
              <w:left w:val="single" w:color="CCCCCC" w:sz="1"/>
              <w:bottom w:val="single" w:color="CCCCCC" w:sz="1"/>
              <w:right w:val="single" w:color="CCCCCC" w:sz="1"/>
            </w:tcBorders>
            <w:shd w:fill="EEF2FF" w:val="clear"/>
            <w:tcMar>
              <w:top w:type="dxa" w:w="80"/>
              <w:left w:type="dxa" w:w="150"/>
              <w:bottom w:type="dxa" w:w="80"/>
              <w:right w:type="dxa" w:w="150"/>
            </w:tcMar>
          </w:tcPr>
          <w:p>
            <w:pPr>
              <w:jc w:val="left"/>
            </w:pPr>
            <w:r>
              <w:rPr>
                <w:rFonts w:ascii="Arial" w:cs="Arial" w:eastAsia="Arial" w:hAnsi="Arial"/>
                <w:sz w:val="20"/>
                <w:szCs w:val="20"/>
              </w:rPr>
              <w:t xml:space="preserve">Rekap Absensi</w:t>
            </w:r>
          </w:p>
        </w:tc>
      </w:tr>
    </w:tbl>
    <w:p>
      <w:pPr>
        <w:spacing w:before="400"/>
      </w:pPr>
    </w:p>
    <w:p>
      <w:pPr>
        <w:pBdr>
          <w:top w:val="single" w:color="CCCCCC" w:sz="4"/>
        </w:pBdr>
        <w:spacing w:after="0" w:before="200"/>
        <w:jc w:val="center"/>
      </w:pPr>
      <w:r>
        <w:rPr>
          <w:rFonts w:ascii="Arial" w:cs="Arial" w:eastAsia="Arial" w:hAnsi="Arial"/>
          <w:i/>
          <w:iCs/>
          <w:color w:val="888888"/>
          <w:sz w:val="18"/>
          <w:szCs w:val="18"/>
        </w:rPr>
        <w:t xml:space="preserve">Dokumen ini disusun sebagai bagian dari analisis sistem untuk Tugas Akhir | UNINDRA 2025/2026</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A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2026-06-21T13:40:46.281Z</dcterms:created>
  <dcterms:modified xsi:type="dcterms:W3CDTF">2026-06-21T13:40:46.283Z</dcterms:modified>
</cp:coreProperties>
</file>

<file path=docProps/custom.xml><?xml version="1.0" encoding="utf-8"?>
<Properties xmlns="http://schemas.openxmlformats.org/officeDocument/2006/custom-properties" xmlns:vt="http://schemas.openxmlformats.org/officeDocument/2006/docPropsVTypes"/>
</file>