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판별타당도-검증-보고서-보고서-03-대조정정"/>
    <w:p>
      <w:pPr>
        <w:pStyle w:val="Heading1"/>
      </w:pPr>
      <w:r>
        <w:t xml:space="preserve">판별타당도 검증 보고서 (보고서 03 대조·정정)</w:t>
      </w:r>
    </w:p>
    <w:p>
      <w:pPr>
        <w:pStyle w:val="FirstParagraph"/>
      </w:pPr>
      <w:r>
        <w:t xml:space="preserve">검증 범위: 판별타당도 관련 산출물만. 회귀·매개·조절·공통방법편의 분석은 재수행하지 않았고, 원고는 수정하지 않음. 검증 코드:</w:t>
      </w:r>
      <w:r>
        <w:t xml:space="preserve"> </w:t>
      </w:r>
      <w:r>
        <w:rPr>
          <w:rStyle w:val="VerbatimChar"/>
        </w:rPr>
        <w:t xml:space="preserve">R/08_dv_verification.R</w:t>
      </w:r>
      <w:r>
        <w:t xml:space="preserve">, 로그:</w:t>
      </w:r>
      <w:r>
        <w:t xml:space="preserve"> </w:t>
      </w:r>
      <w:r>
        <w:rPr>
          <w:rStyle w:val="VerbatimChar"/>
        </w:rPr>
        <w:t xml:space="preserve">output/logs/08_output.txt</w:t>
      </w:r>
      <w:r>
        <w:t xml:space="preserve">.</w:t>
      </w:r>
    </w:p>
    <w:bookmarkStart w:id="20" w:name="Xf67bd7b5595d448decab6d5e8d47082bc99c9ef"/>
    <w:p>
      <w:pPr>
        <w:pStyle w:val="Heading2"/>
      </w:pPr>
      <w:r>
        <w:t xml:space="preserve">1. 자료·문항 검증 (요청사항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318 (완전사례 318, 결측 없음) — 기존 분석과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46개: 리더십 12 + 일의의미 9(3번 제외) + 주인의식 9 + 조직지원 7(6번 제외) + 혁신행동 9 — 기존 분석과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역채점·제외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.sav 저장값 그대로 사용(재역채점 없음), 제외 문항 미포함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모형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수렴 , 음의 분산(부적절해) 없음</w:t>
            </w:r>
          </w:p>
        </w:tc>
      </w:tr>
    </w:tbl>
    <w:bookmarkEnd w:id="20"/>
    <w:bookmarkStart w:id="21" w:name="Xb2717a95f476204c54f839ac094ca327e7abba8"/>
    <w:p>
      <w:pPr>
        <w:pStyle w:val="Heading2"/>
      </w:pPr>
      <w:r>
        <w:t xml:space="preserve">2. 모형·추정법·계산방식 명세 (요청사항 2)</w:t>
      </w:r>
    </w:p>
    <w:p>
      <w:pPr>
        <w:pStyle w:val="FirstParagraph"/>
      </w:pPr>
      <w:r>
        <w:rPr>
          <w:bCs/>
          <w:b/>
        </w:rPr>
        <w:t xml:space="preserve">5요인 CFA 문항 배정</w:t>
      </w:r>
      <w:r>
        <w:t xml:space="preserve">: EL=리더십1–12, MW=일의의미1,2,4–10, PO=주인의식1–9, POS=조직지원1–5,7,8, IB=혁신행동1–9. 각 구성개념 단일요인, 요인 간 상관 자유추정, std.lv=TRUE.</w:t>
      </w:r>
      <w:r>
        <w:t xml:space="preserve"> </w:t>
      </w:r>
      <w:r>
        <w:rPr>
          <w:bCs/>
          <w:b/>
        </w:rPr>
        <w:t xml:space="preserve">추정법 MLR</w:t>
      </w:r>
      <w:r>
        <w:t xml:space="preserve"> </w:t>
      </w:r>
      <w:r>
        <w:t xml:space="preserve">(lavaan 0.6-17).</w:t>
      </w:r>
    </w:p>
    <w:p>
      <w:pPr>
        <w:pStyle w:val="BodyText"/>
      </w:pPr>
      <w:r>
        <w:rPr>
          <w:bCs/>
          <w:b/>
        </w:rPr>
        <w:t xml:space="preserve">각 보고값의 출처(검증됨)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5요인 MLR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3종 대조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잠재요인 상관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5요인 MLR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완전표준화 해의 요인 간 상관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5요인 MLR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semTools compRelSEM (omega)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5요인 MLR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semTools::AVE (원척도 분산 가중). 고전적 정의(표준화 적재치 제곱 평균)와 차이 있음 — 아래 정정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5요인 문항 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semTools::htmt 기본(문항 Pearson 상관, 산술평균 방식). CI는 부트스트랩 1,000회 백분위(seed=20260102)</w:t>
            </w:r>
          </w:p>
        </w:tc>
      </w:tr>
    </w:tbl>
    <w:p>
      <w:pPr>
        <w:pStyle w:val="BodyText"/>
      </w:pPr>
      <w:r>
        <w:rPr>
          <w:bCs/>
          <w:b/>
        </w:rPr>
        <w:t xml:space="preserve">적합도 지수 3종 대조 (5요인 MLR)</w:t>
      </w:r>
      <w:r>
        <w:t xml:space="preserve"> </w:t>
      </w:r>
      <w:r>
        <w:t xml:space="preserve">— 혼용 점검(요청사항 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χ²(979)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일반(naive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2475.93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척도보정(scaled)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강건(robust)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.066 [.062, .070]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.055</w:t>
            </w:r>
          </w:p>
        </w:tc>
      </w:tr>
    </w:tbl>
    <w:p>
      <w:pPr>
        <w:pStyle w:val="BodyText"/>
      </w:pPr>
      <w:r>
        <w:t xml:space="preserve">→ 보고서 03의 "χ²(979)=2180.50, CFI=.882, TLI=.875, RMSEA=.066, SRMR=.055"는</w:t>
      </w:r>
      <w:r>
        <w:t xml:space="preserve"> </w:t>
      </w:r>
      <w:r>
        <w:rPr>
          <w:bCs/>
          <w:b/>
        </w:rPr>
        <w:t xml:space="preserve">척도보정 χ² + 강건 CFI/TLI/RMSEA + 일반 SRMR의 조합</w:t>
      </w:r>
      <w:r>
        <w:t xml:space="preserve">. 이는 lavaan 요약 출력의 "robust" 열 관행과 같으나, 혼용임이 명시돼 있지 않았음(정정 2). 어느 변형을 쓰든 CFI가 .90 기준에 미달한다는 결론은 동일(.872–.882).</w:t>
      </w:r>
    </w:p>
    <w:bookmarkEnd w:id="21"/>
    <w:bookmarkStart w:id="22" w:name="Xca682a994f0e9ad79cdacaa43576d994096d285"/>
    <w:p>
      <w:pPr>
        <w:pStyle w:val="Heading2"/>
      </w:pPr>
      <w:r>
        <w:t xml:space="preserve">3. 검증된 판별타당도 표 (요청사항 3)</w:t>
      </w:r>
    </w:p>
    <w:p>
      <w:pPr>
        <w:pStyle w:val="FirstParagraph"/>
      </w:pPr>
      <w:r>
        <w:rPr>
          <w:bCs/>
          <w:b/>
        </w:rPr>
        <w:t xml:space="preserve">5요인 MLR, N=318, 46문항.</w:t>
      </w:r>
      <w:r>
        <w:t xml:space="preserve"> </w:t>
      </w:r>
      <w:r>
        <w:t xml:space="preserve">대각선 아래 = 잠재요인 상관, [ ] = HTMT와 부트스트랩 95% CI(1,000회, 백분위).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√AVE_b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임파워링 리더십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MW 일의 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.704 [.712; .626–.781]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심리적 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.770 [.787; .709–.841]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.800 [.808; .742–.863]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조직지원인식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.826 [.857; .803–.909]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.676 [.673; .566–.763]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.867 [.874; .801–.934]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 혁신행동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.667 [.678; .586–.755]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.779 [.790; .720–.851]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.789 [.825; .760–.883]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.658 [.668; .558–.759]</w:t>
            </w:r>
          </w:p>
        </w:tc>
      </w:tr>
    </w:tbl>
    <w:p>
      <w:pPr>
        <w:pStyle w:val="BodyText"/>
      </w:pPr>
      <w:r>
        <w:t xml:space="preserve">AVE_a = semTools::AVE(원척도 분산 가중), AVE_b = 고전적 Fornell-Larcker 정의(표준화 적재치 제곱의 평균). 어느 정의로도 결론 동일.</w:t>
      </w:r>
    </w:p>
    <w:p>
      <w:pPr>
        <w:pStyle w:val="BodyText"/>
      </w:pPr>
      <w:r>
        <w:rPr>
          <w:bCs/>
          <w:b/>
        </w:rPr>
        <w:t xml:space="preserve">판정(지표별로 엇갈림 — 그대로 보고)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Fornell-Larcker</w:t>
      </w:r>
      <w:r>
        <w:t xml:space="preserve">: 5개 쌍 위반 — EL–PO(.770), EL–POS(.826), MW–PO(.800), PO–POS(.867), PO–IB(.789)가 관련 √AVE를 상회. 두 AVE 정의 모두에서 동일하게 위반.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HTMT</w:t>
      </w:r>
      <w:r>
        <w:t xml:space="preserve">: 보수 기준 .85 초과 2쌍 —</w:t>
      </w:r>
      <w:r>
        <w:t xml:space="preserve"> </w:t>
      </w:r>
      <w:r>
        <w:rPr>
          <w:bCs/>
          <w:b/>
        </w:rPr>
        <w:t xml:space="preserve">EL–POS = .857 [.803, .909]</w:t>
      </w:r>
      <w:r>
        <w:t xml:space="preserve">,</w:t>
      </w:r>
      <w:r>
        <w:t xml:space="preserve"> </w:t>
      </w:r>
      <w:r>
        <w:rPr>
          <w:bCs/>
          <w:b/>
        </w:rPr>
        <w:t xml:space="preserve">PO–POS = .874 [.801, .934]</w:t>
      </w:r>
      <w:r>
        <w:t xml:space="preserve">. 두 쌍 모두 CI 상한이 .90을 넘음(자유 기준 .90도 CI 안에서 초과 가능). 다만 CI 상한이 1.0 미만이므로 "완전히 동일한 구성개념"이라는 해석까지는 지지되지 않음. 나머지 8쌍은 .85 미만.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대안모형 비교</w:t>
      </w:r>
      <w:r>
        <w:t xml:space="preserve">(기존 05 산출, 재수행 안 함): 5요인이 EL+POS 통합, PO+POS 통합 등 모든 통합모형보다 유의하게 우수(Δχ² 모두 p&lt;.001).</w:t>
      </w:r>
    </w:p>
    <w:p>
      <w:pPr>
        <w:numPr>
          <w:ilvl w:val="0"/>
          <w:numId w:val="1001"/>
        </w:numPr>
        <w:pStyle w:val="Compact"/>
      </w:pPr>
      <w:r>
        <w:t xml:space="preserve">종합:</w:t>
      </w:r>
      <w:r>
        <w:t xml:space="preserve"> </w:t>
      </w:r>
      <w:r>
        <w:rPr>
          <w:bCs/>
          <w:b/>
        </w:rPr>
        <w:t xml:space="preserve">구성개념이 "구분 불가능"하다는 증거는 없으나(대안모형 비교·HTMT CI&lt;1), EL–POS와 PO–POS의 변별은 보수적 기준에서 확보되었다고 말할 수 없음.</w:t>
      </w:r>
      <w:r>
        <w:t xml:space="preserve"> </w:t>
      </w:r>
      <w:r>
        <w:t xml:space="preserve">특히 PO–POS는 세 지표(잠재상관 .867, F-L 위반, HTMT .874) 모두에서 가장 취약.</w:t>
      </w:r>
    </w:p>
    <w:bookmarkEnd w:id="22"/>
    <w:bookmarkStart w:id="23" w:name="X1d5ea1be5273a3de22ff29709ff1656ae56d734"/>
    <w:p>
      <w:pPr>
        <w:pStyle w:val="Heading2"/>
      </w:pPr>
      <w:r>
        <w:t xml:space="preserve">4. 10요인 모형의 구성 (요청사항 4 — 구성만 명시)</w:t>
      </w:r>
    </w:p>
    <w:p>
      <w:pPr>
        <w:pStyle w:val="FirstParagraph"/>
      </w:pPr>
      <w:r>
        <w:t xml:space="preserve">EL직무의미(리더십1–3), EL의사결정참여(4–6), EL자율지지(7–9), EL성과확신(10–12), MW(일의의미 9문항), PO책임감(주인의식1–3), PO소속·자기정체성(4–9), POS(조직지원 7문항), IB창출(혁신행동1–3), IB전파·구현(4–9)의 10개 1차 요인, 상관 자유추정.</w:t>
      </w:r>
    </w:p>
    <w:p>
      <w:pPr>
        <w:pStyle w:val="BodyText"/>
      </w:pPr>
      <w:r>
        <w:t xml:space="preserve">※ 이 모형의 적합도가 양호하다는 사실은</w:t>
      </w:r>
      <w:r>
        <w:t xml:space="preserve"> </w:t>
      </w:r>
      <w:r>
        <w:rPr>
          <w:bCs/>
          <w:b/>
        </w:rPr>
        <w:t xml:space="preserve">하위차원 구조가 자료에 더 적합함을 의미할 뿐, 5개 전체 구성개념 간 판별타당도의 근거가 아님.</w:t>
      </w:r>
      <w:r>
        <w:t xml:space="preserve"> </w:t>
      </w:r>
      <w:r>
        <w:t xml:space="preserve">판별타당도 판정은 위 3절의 구성개념 수준 지표로만 한다.</w:t>
      </w:r>
    </w:p>
    <w:bookmarkEnd w:id="23"/>
    <w:bookmarkStart w:id="24" w:name="X6222cdcd7b95b7dcca8287848e74c08869ebef1"/>
    <w:p>
      <w:pPr>
        <w:pStyle w:val="Heading2"/>
      </w:pPr>
      <w:r>
        <w:t xml:space="preserve">5. 기존 보고서(03) 정정 목록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AVE 계산 방식 명시 필요</w:t>
      </w:r>
      <w:r>
        <w:t xml:space="preserve">: 03에 수록된 AVE(.552/.646/.554/.570/.650)는 semTools 방식(원척도 분산 가중). 고전적 Fornell-Larcker 정의로는 .541/.637/</w:t>
      </w:r>
      <w:r>
        <w:rPr>
          <w:bCs/>
          <w:b/>
        </w:rPr>
        <w:t xml:space="preserve">.519</w:t>
      </w:r>
      <w:r>
        <w:t xml:space="preserve">/.572/.642로 특히 주인의식에서 차이.</w:t>
      </w:r>
      <w:r>
        <w:t xml:space="preserve"> </w:t>
      </w:r>
      <w:r>
        <w:rPr>
          <w:bCs/>
          <w:b/>
        </w:rPr>
        <w:t xml:space="preserve">위반 쌍 결론은 불변</w:t>
      </w:r>
      <w:r>
        <w:t xml:space="preserve">이나, 논문 표에는 어느 정의인지 명시하거나 고전적 정의 값(AVE_b)을 사용할 것을 권고.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적합도 지수 혼용 명시</w:t>
      </w:r>
      <w:r>
        <w:t xml:space="preserve">: 03의 5요인 적합도는 척도보정 χ² + 강건 CFI/TLI/RMSEA 조합. 논문에는 "Yuan–Bentler 척도보정 χ²와 강건(robust) CFI·TLI·RMSEA, SRMR을 보고" 식으로 변형을 명시하고, 하나의 세트로 통일(척도보정 세트 사용 시 CFI=.879, TLI=.872, RMSEA=.062).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WLSMV 민감도 서술 정정 필요</w:t>
      </w:r>
      <w:r>
        <w:t xml:space="preserve">: 03의 "WLSMV에서 적합도가 전반적으로 낮아짐(CFI .795, RMSEA .105)"은</w:t>
      </w:r>
      <w:r>
        <w:t xml:space="preserve"> </w:t>
      </w:r>
      <w:r>
        <w:rPr>
          <w:bCs/>
          <w:b/>
        </w:rPr>
        <w:t xml:space="preserve">강건 변형 기준</w:t>
      </w:r>
      <w:r>
        <w:t xml:space="preserve">이며,</w:t>
      </w:r>
      <w:r>
        <w:t xml:space="preserve"> </w:t>
      </w:r>
      <w:r>
        <w:rPr>
          <w:bCs/>
          <w:b/>
        </w:rPr>
        <w:t xml:space="preserve">척도보정 변형으로는 CFI=.953, RMSEA=.066으로 오히려 양호</w:t>
      </w:r>
      <w:r>
        <w:t xml:space="preserve">. WLSMV의 지수 변형 간 괴리가 크므로(.795 vs .953) "낮아진다"는 단정 대신 "지수 변형에 따라 평가가 크게 달라진다"로 수정하고 두 값 병기.</w:t>
      </w:r>
    </w:p>
    <w:p>
      <w:pPr>
        <w:numPr>
          <w:ilvl w:val="0"/>
          <w:numId w:val="1002"/>
        </w:numPr>
        <w:pStyle w:val="Compact"/>
      </w:pPr>
      <w:r>
        <w:t xml:space="preserve">(이상 없음 확인) 잠재상관·HTMT·CR·HTMT CI는 저장값과 재계산값 일치(최대 차이 .0004, 반올림 수준). N·문항 구성·제외 처리 모두 기존 분석과 동일 확인.</w:t>
      </w:r>
    </w:p>
    <w:bookmarkEnd w:id="24"/>
    <w:bookmarkStart w:id="25" w:name="Xf05723115c8e4cdd46b2390075c76ed42f669d8"/>
    <w:p>
      <w:pPr>
        <w:pStyle w:val="Heading2"/>
      </w:pPr>
      <w:r>
        <w:t xml:space="preserve">6. 논문 삽입용 문단</w:t>
      </w:r>
    </w:p>
    <w:p>
      <w:pPr>
        <w:pStyle w:val="FirstParagraph"/>
      </w:pPr>
      <w:r>
        <w:rPr>
          <w:bCs/>
          <w:b/>
        </w:rPr>
        <w:t xml:space="preserve">결과(측정모형·판별타당도) 문단</w:t>
      </w:r>
      <w:r>
        <w:t xml:space="preserve">:</w:t>
      </w:r>
    </w:p>
    <w:p>
      <w:pPr>
        <w:pStyle w:val="BlockText"/>
      </w:pPr>
      <w:r>
        <w:t xml:space="preserve">가설 검증에 앞서 다섯 구성개념의 측정모형을 확인적 요인분석(MLR 추정)으로 검토하였다. 5요인 모형의 적합도는 척도보정 χ²(979) = 2180.50, p &lt; .001, CFI = .879, TLI = .872, RMSEA = .062, SRMR = .055였다(강건 지수 기준 CFI = .882, RMSEA = .066, 90% CI [.062, .070]). 모든 문항의 표준화 요인부하량은 유의하였고(λ = .45–.87, p &lt; .001), 합성신뢰도는 .904–.942, AVE는 .52–.64였다. 5요인 모형은 임파워링 리더십과 조직지원인식을 통합한 모형(Δχ²(4) = 147.00, p &lt; .001), 심리적 주인의식과 조직지원인식을 통합한 모형(Δχ²(4) = 119.93, p &lt; .001)을 포함한 모든 대안모형보다 유의하게 우수하여, 구성개념들이 경험적으로 구분됨을 지지하였다. 다만 잠재요인 상관은 임파워링 리더십–조직지원인식 .826, 심리적 주인의식–조직지원인식 .867로 높았고, HTMT도 각각 .857(95% CI [.803, .909])과 .874(95% CI [.801, .934])로 보수적 기준(.85)을 상회하였다. 따라서 이들 쌍의 판별타당도는 대안모형 비교에서는 지지되나 Fornell–Larcker 기준과 HTMT 보수 기준은 충족하지 못하는, 지표 간 엇갈린 결과를 보였다.</w:t>
      </w:r>
    </w:p>
    <w:p>
      <w:pPr>
        <w:pStyle w:val="FirstParagraph"/>
      </w:pPr>
      <w:r>
        <w:rPr>
          <w:bCs/>
          <w:b/>
        </w:rPr>
        <w:t xml:space="preserve">한계 문단</w:t>
      </w:r>
      <w:r>
        <w:t xml:space="preserve">:</w:t>
      </w:r>
    </w:p>
    <w:p>
      <w:pPr>
        <w:pStyle w:val="BlockText"/>
      </w:pPr>
      <w:r>
        <w:t xml:space="preserve">본 연구의 측정모형에서 임파워링 리더십 및 심리적 주인의식과 조직지원인식 간 잠재상관과 HTMT가 보수적 기준을 상회하여, 이들 구성개념 간 경험적 변별이 제한적일 가능성을 배제할 수 없다. 모든 변수를 동일 응답원으로부터 단일 시점에 측정한 본 연구의 설계가 구성개념 간 상관을 부풀렸을 수 있으며, 특히 조직지원인식이 관여하는 경로계수와 조절효과의 해석에는 이러한 중첩 가능성을 고려할 필요가 있다. 후속 연구에서는 측정 시점 분리나 평가원 분리를 통해 구성개념 간 변별을 재확인할 필요가 있다.</w:t>
      </w:r>
    </w:p>
    <w:bookmarkEnd w:id="25"/>
    <w:bookmarkStart w:id="26" w:name="Xd78ddcff5fd726a32dbe7c133b2e4a8610d411a"/>
    <w:p>
      <w:pPr>
        <w:pStyle w:val="Heading2"/>
      </w:pPr>
      <w:r>
        <w:t xml:space="preserve">7. 실행 환경</w:t>
      </w:r>
    </w:p>
    <w:p>
      <w:pPr>
        <w:pStyle w:val="FirstParagraph"/>
      </w:pPr>
      <w:r>
        <w:t xml:space="preserve">R 4.3.3, lavaan 0.6-17, semTools 0.5-6. 검증 재적합 1회(5요인 MLR 전체 지수 산출) 및 WLSMV 지수 변형 확인 1회 외에 추가 모형 탐색·문항 변경·수정지수 적용 없음.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2026-10-02T11:30:00Z</dcterms:created>
  <dcterms:modified xsi:type="dcterms:W3CDTF">2026-10-02T11:30:00Z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