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보강-분석-결과-측정모형판별타당도조절-양상공통방법편의"/>
    <w:p>
      <w:pPr>
        <w:pStyle w:val="Heading1"/>
      </w:pPr>
      <w:r>
        <w:t xml:space="preserve">보강 분석 결과 (측정모형·판별타당도·조절 양상·공통방법편의)</w:t>
      </w:r>
    </w:p>
    <w:p>
      <w:pPr>
        <w:pStyle w:val="FirstParagraph"/>
      </w:pPr>
      <w:r>
        <w:t xml:space="preserve">실행 환경: R 4.3.3, lavaan 0.6-17, semTools 0.5-6, psych 2.4.1, sandwich 3.1-0. N=318. 모든 모형은 사전 지정 후 추정했으며 수정지수 기반 수정·문항 삭제·문항묶음을 하지 않음.</w:t>
      </w:r>
    </w:p>
    <w:bookmarkStart w:id="20" w:name="Xaa3b1300c9c64329bbe00d965715038cf52eeec"/>
    <w:p>
      <w:pPr>
        <w:pStyle w:val="Heading2"/>
      </w:pPr>
      <w:r>
        <w:t xml:space="preserve">1. 측정모형 (CFA)</w:t>
      </w:r>
    </w:p>
    <w:p>
      <w:pPr>
        <w:pStyle w:val="FirstParagraph"/>
      </w:pPr>
      <w:r>
        <w:t xml:space="preserve">추정법 사전 지정:</w:t>
      </w:r>
      <w:r>
        <w:t xml:space="preserve"> </w:t>
      </w:r>
      <w:r>
        <w:rPr>
          <w:bCs/>
          <w:b/>
        </w:rPr>
        <w:t xml:space="preserve">주 분석 MLR</w:t>
      </w:r>
      <w:r>
        <w:t xml:space="preserve">(5점 46문항의 연속형 근사, 합성점수 기반 본 분석과의 정합성·N=318 고려, 강건 적합도 보고),</w:t>
      </w:r>
      <w:r>
        <w:t xml:space="preserve"> </w:t>
      </w:r>
      <w:r>
        <w:rPr>
          <w:bCs/>
          <w:b/>
        </w:rPr>
        <w:t xml:space="preserve">민감도 WLSMV</w:t>
      </w:r>
      <w:r>
        <w:t xml:space="preserve">(순서형 특성 반영). 모든 모형 수렴, 부적절해(음의 분산 등) 없음.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모형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χ²(df)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RMSEA [90% CI]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5요인(구성개념 수준)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2180.50 (979)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.066 [.062, .070]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10요인(하위차원 수준)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1537.59 (944)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.047</w:t>
            </w:r>
            <w:r>
              <w:t xml:space="preserve"> </w:t>
            </w:r>
            <w:r>
              <w:t xml:space="preserve">[.043, .051]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대안: 리더십+조직지원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2449.21 (983)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대안: 주인의식+조직지원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2361.33 (983)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대안: 일의의미+주인의식 통합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2571.66 (983)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단일요인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3955.18 (989)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[민감도] 5요인 WLSMV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2345.91 (979)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[민감도] 단일요인 WLSMV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4680.82 (989)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.090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5요인은 모든 통합 대안보다 유의하게 우수(척도보정 Δχ², 모두 p&lt;.001; 단일요인 대비 Δχ²(10)=881.77).</w:t>
      </w:r>
    </w:p>
    <w:p>
      <w:pPr>
        <w:numPr>
          <w:ilvl w:val="0"/>
          <w:numId w:val="1001"/>
        </w:numPr>
        <w:pStyle w:val="Compact"/>
      </w:pPr>
      <w:r>
        <w:t xml:space="preserve">다만</w:t>
      </w:r>
      <w:r>
        <w:t xml:space="preserve"> </w:t>
      </w:r>
      <w:r>
        <w:rPr>
          <w:bCs/>
          <w:b/>
        </w:rPr>
        <w:t xml:space="preserve">5요인 자체의 CFI(.882)가 관례적 기준(.90)에 미달</w:t>
      </w:r>
      <w:r>
        <w:t xml:space="preserve">. 하위차원을 반영한 10요인 모형은 양호(CFI .942, RMSEA .047) → 리더십·주인의식·혁신행동의 다차원성을 반영한 모형이 자료에 더 적합.</w:t>
      </w:r>
    </w:p>
    <w:p>
      <w:pPr>
        <w:numPr>
          <w:ilvl w:val="0"/>
          <w:numId w:val="1001"/>
        </w:numPr>
        <w:pStyle w:val="Compact"/>
      </w:pPr>
      <w:r>
        <w:t xml:space="preserve">WLSMV에서는 적합도가 전반적으로 낮아짐(RMSEA 기준). 추정법 간 결론(5요인&gt;통합&gt;단일요인)은 동일하나, 절대적합도 서술은 추정법을 명시해야 함.</w:t>
      </w:r>
    </w:p>
    <w:p>
      <w:pPr>
        <w:numPr>
          <w:ilvl w:val="0"/>
          <w:numId w:val="1001"/>
        </w:numPr>
        <w:pStyle w:val="Compact"/>
      </w:pPr>
      <w:r>
        <w:t xml:space="preserve">표준화 적재치: 전 문항 유의. 범위 — 리더십 .626–.818, 일의의미 .713–.865, 주인의식 .446–.869, 조직지원 .496–.854, 혁신행동 .671–.874.</w:t>
      </w:r>
    </w:p>
    <w:bookmarkEnd w:id="20"/>
    <w:bookmarkStart w:id="21" w:name="Xbb986ee257731dc384ecfccc82c7d65f453b5b8"/>
    <w:p>
      <w:pPr>
        <w:pStyle w:val="Heading2"/>
      </w:pPr>
      <w:r>
        <w:t xml:space="preserve">2. 판별타당도 — 핵심 우려 확인됨</w:t>
      </w:r>
    </w:p>
    <w:p>
      <w:pPr>
        <w:pStyle w:val="FirstParagraph"/>
      </w:pPr>
      <w:r>
        <w:t xml:space="preserve">구성개념 수준(5요인 MLR). CR/AVE/HTMT는 구성개념 수준에서 계산(다차원 척도를 단일요인으로 묶은 보수적 수준임을 명시).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잠재상관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HTMT [부트스트랩 95% CI, 1000회]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Fornell-Larcker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주인의식–조직지원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.867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.874 [.801, .934]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위반</w:t>
            </w:r>
            <w:r>
              <w:t xml:space="preserve"> </w:t>
            </w:r>
            <w:r>
              <w:t xml:space="preserve">(&gt; √AVE .744/.755)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리더십–조직지원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.826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.857 [.803, .909]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위반</w:t>
            </w:r>
            <w:r>
              <w:t xml:space="preserve"> </w:t>
            </w:r>
            <w:r>
              <w:t xml:space="preserve">(&gt; √AVE .743/.755)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일의의미–주인의식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.808 [.742, .863]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위반(√AVE_PO .744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주인의식–혁신행동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리더십–주인의식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위반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CR: .904–.942, AVE: .552–.650 (모두 수렴타당도 기준 충족: AVE&gt;.50).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Fornell-Larcker 기준 5개 쌍 위반</w:t>
      </w:r>
      <w:r>
        <w:t xml:space="preserve">. HTMT는 보수적 기준(.85) 초과 쌍이 2개(주인의식–조직지원 .874, 리더십–조직지원 .857)이며, 자유로운 기준(.90) 미만이고 CI 상한이 1에 미달하므로 "구분 불가"까지는 아니나</w:t>
      </w:r>
      <w:r>
        <w:t xml:space="preserve"> </w:t>
      </w:r>
      <w:r>
        <w:rPr>
          <w:bCs/>
          <w:b/>
        </w:rPr>
        <w:t xml:space="preserve">변별이 취약함을 정직하게 보고해야 함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하위차원 수준(10요인): 중첩의 진원지는</w:t>
      </w:r>
      <w:r>
        <w:t xml:space="preserve"> </w:t>
      </w:r>
      <w:r>
        <w:rPr>
          <w:bCs/>
          <w:b/>
        </w:rPr>
        <w:t xml:space="preserve">주인의식_소속·자기정체성–조직지원</w:t>
      </w:r>
      <w:r>
        <w:t xml:space="preserve"> </w:t>
      </w:r>
      <w:r>
        <w:t xml:space="preserve">(잠재상관 .856, HTMT .864). 주인의식_책임–조직지원은 낮음(HTMT .580). 즉 주인의식과 조직지원의 중첩은 소속감·정체성 문항에 집중됨.</w:t>
      </w:r>
    </w:p>
    <w:p>
      <w:pPr>
        <w:numPr>
          <w:ilvl w:val="0"/>
          <w:numId w:val="1002"/>
        </w:numPr>
        <w:pStyle w:val="Compact"/>
      </w:pPr>
      <w:r>
        <w:t xml:space="preserve">참고: 합성점수 상관(.788, .773)과 잠재상관(.867, .826)은 다른 값임 — 원고에서 혼용하지 말 것.</w:t>
      </w:r>
    </w:p>
    <w:bookmarkEnd w:id="21"/>
    <w:bookmarkStart w:id="24" w:name="Xe2a4b03e80dde8d300a48d830628f1bf0a64610"/>
    <w:p>
      <w:pPr>
        <w:pStyle w:val="Heading2"/>
      </w:pPr>
      <w:r>
        <w:t xml:space="preserve">3. 조절효과의 양상 (03과 동일 표본·통제·코딩)</w:t>
      </w:r>
    </w:p>
    <w:bookmarkStart w:id="22" w:name="X5d95506a8d8ec0555cf901584d59ac777babe20"/>
    <w:p>
      <w:pPr>
        <w:pStyle w:val="Heading3"/>
      </w:pPr>
      <w:r>
        <w:t xml:space="preserve">조건부 효과 (조직지원인식 평균, ±1SD; Z단위 ±1 = 원점수 2.519/3.308/4.097)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일의의미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[.198, .411]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일의의미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[.249, .448]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일의의미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[.275, .510]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주인의식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[.093, .261]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주인의식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[.144, .301]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주인의식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[.175, .360]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모든 수준에서 조건부 효과가 유의</w:t>
      </w:r>
      <w:r>
        <w:t xml:space="preserve"> </w:t>
      </w:r>
      <w:r>
        <w:t xml:space="preserve">→ "조직지원인식이 높을수록 효과가 강해진다"는 양상이지, 특정 수준에서 효과가 사라지는 양상이 아님. 단순기울기의 유의/비유의 대비로 조절을 서술하면 안 되는 사례.</w:t>
      </w:r>
    </w:p>
    <w:p>
      <w:pPr>
        <w:numPr>
          <w:ilvl w:val="0"/>
          <w:numId w:val="1003"/>
        </w:numPr>
        <w:pStyle w:val="Compact"/>
      </w:pPr>
      <w:r>
        <w:t xml:space="preserve">Johnson–Neyman: 주인의식 경로의 비유의 경계는 ZW=-2.360(원점수 1.446, 표본 하위 극단)으로 관측 범위[-2.925, 2.144] 내이긴 하나 극소수 영역. 일의의미 경로 경계(-3.503)는 관측 범위 밖(외삽).</w:t>
      </w:r>
    </w:p>
    <w:bookmarkEnd w:id="22"/>
    <w:bookmarkStart w:id="23" w:name="강건성-사전-지정-목적-상호작용-추정의-안정성-점검"/>
    <w:p>
      <w:pPr>
        <w:pStyle w:val="Heading3"/>
      </w:pPr>
      <w:r>
        <w:t xml:space="preserve">강건성 (사전 지정 목적: 상호작용 추정의 안정성 점검)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점검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일의의미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주인의식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원모형 (OLS 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B=.0441, p=.091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B=.0451,</w:t>
            </w:r>
            <w:r>
              <w:t xml:space="preserve"> </w:t>
            </w:r>
            <w:r>
              <w:rPr>
                <w:bCs/>
                <w:b/>
              </w:rPr>
              <w:t xml:space="preserve">p=.028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HC3 강건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p=.134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p=.053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제곱항(ZX², ZW²)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B=.0675, p=.468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B=.0749, p=.308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주인의식 경로의 상호작용은 강건하지 않음</w:t>
      </w:r>
      <w:r>
        <w:t xml:space="preserve">: HC3 적용 시 p=.053으로 경계선, 제곱항 통제 시 비유의(단, 제곱항 모형은 다중공선성으로 검정력이 낮아지는 보수적 점검임).</w:t>
      </w:r>
    </w:p>
    <w:p>
      <w:pPr>
        <w:numPr>
          <w:ilvl w:val="0"/>
          <w:numId w:val="1004"/>
        </w:numPr>
        <w:pStyle w:val="Compact"/>
      </w:pPr>
      <w:r>
        <w:t xml:space="preserve">ΔR²도 .005로 작음. 두 경로의 ΔR²(.005 vs .005)와 B(.044 vs .045)가 거의 같다는 점에서,</w:t>
      </w:r>
      <w:r>
        <w:t xml:space="preserve"> </w:t>
      </w:r>
      <w:r>
        <w:rPr>
          <w:bCs/>
          <w:b/>
        </w:rPr>
        <w:t xml:space="preserve">"한쪽은 유의, 한쪽은 비유의"를 "두 경로의 조절효과가 다르다"로 해석해서는 안 됨</w:t>
      </w:r>
      <w:r>
        <w:t xml:space="preserve">(두 상호작용 계수 차이의 직접 검정은 수행하지 않았으며, p=.091 vs p=.028은 그 근거가 아님).</w:t>
      </w:r>
    </w:p>
    <w:p>
      <w:pPr>
        <w:numPr>
          <w:ilvl w:val="0"/>
          <w:numId w:val="1004"/>
        </w:numPr>
        <w:pStyle w:val="Compact"/>
      </w:pPr>
      <w:r>
        <w:t xml:space="preserve">원고 서술 권고: 조절효과를 "주인의식 경로에서 유의하게 나타났다"로 보고하되, 효과 크기가 작고 강건 SE에서 경계선임을 한계에 명시.</w:t>
      </w:r>
    </w:p>
    <w:bookmarkEnd w:id="23"/>
    <w:bookmarkEnd w:id="24"/>
    <w:bookmarkStart w:id="25" w:name="Xbd4d92c15de493a034fc7edd30ef25bf0104230"/>
    <w:p>
      <w:pPr>
        <w:pStyle w:val="Heading2"/>
      </w:pPr>
      <w:r>
        <w:t xml:space="preserve">4. 공통방법편의 보조 진단</w:t>
      </w:r>
    </w:p>
    <w:p>
      <w:pPr>
        <w:numPr>
          <w:ilvl w:val="0"/>
          <w:numId w:val="1005"/>
        </w:numPr>
        <w:pStyle w:val="Compact"/>
      </w:pPr>
      <w:r>
        <w:t xml:space="preserve">Harman 단일요인: 최종 분석 46문항(통제변수 제외), Pearson 상관행렬, 무회전.</w:t>
      </w:r>
      <w:r>
        <w:t xml:space="preserve"> </w:t>
      </w:r>
      <w:r>
        <w:rPr>
          <w:bCs/>
          <w:b/>
        </w:rPr>
        <w:t xml:space="preserve">PCA 첫 성분 47.63%</w:t>
      </w:r>
      <w:r>
        <w:t xml:space="preserve"> </w:t>
      </w:r>
      <w:r>
        <w:t xml:space="preserve">(고유값&gt;1 성분 6개), PAF 단일요인 46.52%.</w:t>
      </w:r>
    </w:p>
    <w:p>
      <w:pPr>
        <w:numPr>
          <w:ilvl w:val="0"/>
          <w:numId w:val="1005"/>
        </w:numPr>
        <w:pStyle w:val="Compact"/>
      </w:pPr>
      <w:r>
        <w:t xml:space="preserve">단일요인 CFA(위 표)는 5요인보다 극히 불량(ΔCFI=.177).</w:t>
      </w:r>
    </w:p>
    <w:p>
      <w:pPr>
        <w:numPr>
          <w:ilvl w:val="0"/>
          <w:numId w:val="1005"/>
        </w:numPr>
        <w:pStyle w:val="Compact"/>
      </w:pPr>
      <w:r>
        <w:t xml:space="preserve">해석 지침: 첫 성분이 50% 미만이고 단일요인 모형이 기각되지만,</w:t>
      </w:r>
      <w:r>
        <w:t xml:space="preserve"> </w:t>
      </w:r>
      <w:r>
        <w:rPr>
          <w:bCs/>
          <w:b/>
        </w:rPr>
        <w:t xml:space="preserve">이는 공통방법편의의 부재를 입증하지 않음</w:t>
      </w:r>
      <w:r>
        <w:t xml:space="preserve">(동일 응답원·동일 시점 자료의 한계로 서술). 마커변수는 조사되지 않았으므로 사용하지 않음.</w:t>
      </w:r>
    </w:p>
    <w:bookmarkEnd w:id="25"/>
    <w:bookmarkStart w:id="26" w:name="X403c1d577f66d053298234913b9d7da0f6924af"/>
    <w:p>
      <w:pPr>
        <w:pStyle w:val="Heading2"/>
      </w:pPr>
      <w:r>
        <w:t xml:space="preserve">5. 신규 수행 검정 (기존 원고에 없던 분석, 별도 표기 필수)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두 간접효과 차이의 부트스트랩 검정</w:t>
      </w:r>
      <w:r>
        <w:t xml:space="preserve">: a1b1 − a2b2 = −.0638, BootSE=.0850, 95% CI [−.2284, .1000] →</w:t>
      </w:r>
      <w:r>
        <w:t xml:space="preserve"> </w:t>
      </w:r>
      <w:r>
        <w:rPr>
          <w:bCs/>
          <w:b/>
        </w:rPr>
        <w:t xml:space="preserve">비유의</w:t>
      </w:r>
      <w:r>
        <w:t xml:space="preserve">. 두 매개경로의 상대적 크기가 다르다고 말할 수 없음. 원고에서 두 매개효과의 크기를 비교하는 서술이 있다면 삭제하거나 이 결과로 교체 필요.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2026-10-02T09:42:10Z</dcterms:created>
  <dcterms:modified xsi:type="dcterms:W3CDTF">2026-10-02T09:42:10Z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