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65C"/>
          <w:sz w:val="52"/>
        </w:rPr>
        <w:t>INVESTMENT COMMITTEE MEMORANDUM</w:t>
      </w:r>
    </w:p>
    <w:p>
      <w:pPr>
        <w:jc w:val="center"/>
      </w:pPr>
      <w:r>
        <w:rPr>
          <w:b/>
          <w:sz w:val="40"/>
        </w:rPr>
        <w:t>Project Helios Solar &amp; Storage</w:t>
      </w:r>
    </w:p>
    <w:p>
      <w:pPr>
        <w:jc w:val="center"/>
      </w:pPr>
      <w:r>
        <w:rPr>
          <w:i/>
        </w:rPr>
        <w:t>Acquisition of an 80% controlling stake | Thailand | June 2026</w:t>
      </w:r>
    </w:p>
    <w:p>
      <w:pPr>
        <w:jc w:val="center"/>
      </w:pPr>
      <w:r>
        <w:rPr>
          <w:b/>
          <w:color w:val="C00000"/>
          <w:sz w:val="18"/>
        </w:rPr>
        <w:t>IMPORTANT: This document and all figures are entirely synthetic and were created solely for a proof-of-concept demonstration.</w:t>
      </w:r>
    </w:p>
    <w:p>
      <w:r>
        <w:br w:type="page"/>
      </w:r>
    </w:p>
    <w:p>
      <w:pPr>
        <w:pStyle w:val="Heading1"/>
      </w:pPr>
      <w:r>
        <w:t>1. Decision requested</w:t>
      </w:r>
    </w:p>
    <w:p>
      <w:r>
        <w:t>Approval is requested to proceed to final documentation and financing for the acquisition of an 80% controlling interest in Project Helios, subject to the conditions precedent and open items set out in this memorandum.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Requested approval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Commit up to USD 81.8 million of sponsor equity, including transaction costs and contingency.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Asset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250 MWac / 320 MWp solar PV plus 100 MW / 200 MWh BESS.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Nakhon Ratchasima, Thailand.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Late-stage development; construction targeted to commence in Q1 2027.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Proposed ownership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80% Group / 20% local development partner.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Target COD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30 September 2028.</w:t>
            </w:r>
          </w:p>
        </w:tc>
      </w:tr>
    </w:tbl>
    <w:p>
      <w:pPr>
        <w:pStyle w:val="Heading1"/>
      </w:pPr>
      <w:r>
        <w:t>2. Executive summary and investment rationale</w:t>
      </w:r>
    </w:p>
    <w:p>
      <w:pPr>
        <w:pStyle w:val="ListBullet"/>
      </w:pPr>
      <w:r>
        <w:t>Establishes a scalable solar-plus-storage platform in a priority Southeast Asian market.</w:t>
      </w:r>
    </w:p>
    <w:p>
      <w:pPr>
        <w:pStyle w:val="ListBullet"/>
      </w:pPr>
      <w:r>
        <w:t>Combines a 20-year contracted revenue base for 70% of generation with merchant and grid-services upside.</w:t>
      </w:r>
    </w:p>
    <w:p>
      <w:pPr>
        <w:pStyle w:val="ListBullet"/>
      </w:pPr>
      <w:r>
        <w:t>Provides control rights and a pipeline option over two adjacent development sites.</w:t>
      </w:r>
    </w:p>
    <w:p>
      <w:pPr>
        <w:pStyle w:val="ListBullet"/>
      </w:pPr>
      <w:r>
        <w:t>Base-case equity IRR is stated at 14.2% in this memorandum, above the illustrative 12.5% hurdle rate.</w:t>
      </w:r>
    </w:p>
    <w:p>
      <w:pPr>
        <w:pStyle w:val="ListBullet"/>
      </w:pPr>
      <w:r>
        <w:t>Key challenges are grid reinforcement cost, merchant-curve support, BESS augmentation, land easements and offtaker credit evidence.</w:t>
      </w:r>
    </w:p>
    <w:p>
      <w:pPr>
        <w:pStyle w:val="Heading1"/>
      </w:pPr>
      <w:r>
        <w:t>3. Strategic fit</w:t>
      </w:r>
    </w:p>
    <w:p>
      <w:r>
        <w:t>Project Helios supports the stated growth priorities of expanding utility-scale renewables, adding flexible capacity and building a presence in Southeast Asia. The transaction also increases exposure to Thailand and to one synthetic public-sector offtaker. The submission does not quantify the resulting portfolio concentration by geography or counterparty.</w:t>
      </w:r>
    </w:p>
    <w:p>
      <w:pPr>
        <w:pStyle w:val="Heading1"/>
      </w:pPr>
      <w:r>
        <w:t>4. Transaction overview and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Seller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Meridian Renewables Thailand Co., Ltd. (synthetic).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Acquisition of 80% of the project company at financial close.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Enterprise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USD 276 million illustrative enterprise value.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Project 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USD 292 million stated in this memorandum.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Governance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Three of five board seats, CEO nomination right, and reserved-matter vetoes.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Development partner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Retains 20% and provides local development services through COD.</w:t>
            </w:r>
          </w:p>
        </w:tc>
      </w:tr>
    </w:tbl>
    <w:p>
      <w:pPr>
        <w:pStyle w:val="Heading1"/>
      </w:pPr>
      <w:r>
        <w:t>5. Technical description and development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Solar facility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250 MWac / 320 MWp fixed-tilt bifacial PV.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BESS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100 MW / 200 MWh lithium iron phosphate system.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Expected net generation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Approximately 545 GWh in the first full operating year.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Net capacity factor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24.9%.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98.5%.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Curtailment assumption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2.5% base case.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EPC strategy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Single-wrap fixed-price EPC contract under negotiation.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Permitting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Core generation licence obtained; final grid easements and two local construction permits remain open.</w:t>
            </w:r>
          </w:p>
        </w:tc>
      </w:tr>
    </w:tbl>
    <w:p>
      <w:pPr>
        <w:pStyle w:val="Heading1"/>
      </w:pPr>
      <w:r>
        <w:t>6. Market, offtake and revenue model</w:t>
      </w:r>
    </w:p>
    <w:p>
      <w:r>
        <w:t>Seventy percent of solar output is assumed to be sold under a 20-year synthetic PPA at USD 58/MWh in 2029 with 1.5% annual escalation. The remaining 30% is exposed to a synthetic merchant curve starting at USD 65/MWh. BESS revenue is assumed to arise from capacity availability, energy shifting and ancillary services. The independent merchant-price study is referenced but not included in the submission pack.</w:t>
      </w:r>
    </w:p>
    <w:p>
      <w:pPr>
        <w:pStyle w:val="ListBullet"/>
      </w:pPr>
      <w:r>
        <w:t>PPA counterparty: Provincial Electricity Partnership (synthetic).</w:t>
      </w:r>
    </w:p>
    <w:p>
      <w:pPr>
        <w:pStyle w:val="ListBullet"/>
      </w:pPr>
      <w:r>
        <w:t>Payment security: three-month letter of credit is under discussion but not executed.</w:t>
      </w:r>
    </w:p>
    <w:p>
      <w:pPr>
        <w:pStyle w:val="ListBullet"/>
      </w:pPr>
      <w:r>
        <w:t>No independent credit rating or payment-history analysis is appended.</w:t>
      </w:r>
    </w:p>
    <w:p>
      <w:pPr>
        <w:pStyle w:val="ListBullet"/>
      </w:pPr>
      <w:r>
        <w:t>Merchant upside is a material contributor to equity returns.</w:t>
      </w:r>
    </w:p>
    <w:p>
      <w:pPr>
        <w:pStyle w:val="Heading1"/>
      </w:pPr>
      <w:r>
        <w:t>7. Financial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2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Management case</w:t>
            </w:r>
          </w:p>
        </w:tc>
        <w:tc>
          <w:tcPr>
            <w:tcW w:type="dxa" w:w="252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52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Total project cost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292.0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USD mn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Differs from deck and workbook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Project IRR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10.3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Nominal post-tax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Equity IRR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14.2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Memo value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NPV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39.0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USD mn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At 9.0% discount rate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Minimum DSCR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1.32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Base case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EV / EBITDA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9.3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First full-year EBITDA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Debt / total cost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65.0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Senior project financing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Year-one revenue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38.6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USD mn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First full operating year</w:t>
            </w:r>
          </w:p>
        </w:tc>
      </w:tr>
    </w:tbl>
    <w:p>
      <w:pPr>
        <w:pStyle w:val="Heading1"/>
      </w:pPr>
      <w:r>
        <w:t>8. Valuation and benchmark context</w:t>
      </w:r>
    </w:p>
    <w:p>
      <w:r>
        <w:t>The proposed enterprise value implies approximately USD 1.10 million per MW of solar capacity and 9.3x first full-year EBITDA. Management states that these metrics are broadly consistent with recent renewable transactions, although the comparable-company and transaction set, normalization adjustments and source dates have not been appended.</w:t>
      </w:r>
    </w:p>
    <w:p>
      <w:pPr>
        <w:pStyle w:val="Heading1"/>
      </w:pPr>
      <w:r>
        <w:t>9. Financing and execution plan</w:t>
      </w:r>
    </w:p>
    <w:p>
      <w:pPr>
        <w:pStyle w:val="ListBullet"/>
      </w:pPr>
      <w:r>
        <w:t>65% senior debt at an illustrative 6.4% all-in interest rate and 15-year post-COD tenor.</w:t>
      </w:r>
    </w:p>
    <w:p>
      <w:pPr>
        <w:pStyle w:val="ListBullet"/>
      </w:pPr>
      <w:r>
        <w:t>Remaining project funding from sponsor equity in proportion to ownership.</w:t>
      </w:r>
    </w:p>
    <w:p>
      <w:pPr>
        <w:pStyle w:val="ListBullet"/>
      </w:pPr>
      <w:r>
        <w:t>Financial close targeted for December 2026 and construction start for March 2027.</w:t>
      </w:r>
    </w:p>
    <w:p>
      <w:pPr>
        <w:pStyle w:val="ListBullet"/>
      </w:pPr>
      <w:r>
        <w:t>Grid-connection reinforcement estimate remains subject to utility confirmation.</w:t>
      </w:r>
    </w:p>
    <w:p>
      <w:pPr>
        <w:pStyle w:val="ListBullet"/>
      </w:pPr>
      <w:r>
        <w:t>Hedging policy is described, but executed FX and interest-rate hedge terms are not included.</w:t>
      </w:r>
    </w:p>
    <w:p>
      <w:pPr>
        <w:pStyle w:val="Heading1"/>
      </w:pPr>
      <w:r>
        <w:t>10. Sensitivity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Equity IRR</w:t>
            </w:r>
          </w:p>
        </w:tc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Minimum DSCR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case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14.2%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1.32x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Merchant price -15%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12.2%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1.24x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Generation -5%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12.6%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1.21x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Capex +10%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11.8%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1.30x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COD delay 6 months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11.9%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1.28x</w:t>
            </w:r>
          </w:p>
        </w:tc>
      </w:tr>
    </w:tbl>
    <w:p>
      <w:r>
        <w:t>The pack does not include a combined downside case or a BESS degradation/augmentation sensitivity.</w:t>
      </w:r>
    </w:p>
    <w:p>
      <w:pPr>
        <w:pStyle w:val="Heading1"/>
      </w:pPr>
      <w:r>
        <w:t>11. Key risks and mitigants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3360"/>
            <w:vAlign w:val="center"/>
            <w:shd w:fill="16365C"/>
          </w:tcPr>
          <w:p>
            <w:r/>
            <w:r>
              <w:rPr>
                <w:b/>
                <w:color w:val="FFFFFF"/>
                <w:sz w:val="18"/>
              </w:rPr>
              <w:t>Mitigation /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Merchant price exposure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70% contracted; downside sensitivity included but independent curve absent.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Grid cost and 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Utility design review ongoing; estimate includes USD 25m.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Construction and supply chain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Fixed-price EPC planned; liquidated damages under negotiation.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BESS degradation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Warranty term sheet available; augmentation budget not separately modelled.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Offtaker credit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Payment-security package under negotiation; independent credit review absent.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Land and permits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Most parcels secured; final easements and two permits remain open.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Cybersecurity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assessed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dedicated EMS/SCADA cyber assessment included.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Decommissioning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Not assessed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 funded decommissioning or battery-disposal reserve included.</w:t>
            </w:r>
          </w:p>
        </w:tc>
      </w:tr>
    </w:tbl>
    <w:p>
      <w:pPr>
        <w:pStyle w:val="Heading1"/>
      </w:pPr>
      <w:r>
        <w:t>12. Governance and shareholder arrangements</w:t>
      </w:r>
    </w:p>
    <w:p>
      <w:r>
        <w:t>The Group will appoint three of five directors and nominate the chief executive. Reserved matters cover budget, financing, material contracts, asset disposal, related-party transactions and changes to the business plan. The minority partner retains customary information and pre-emption rights.</w:t>
      </w:r>
    </w:p>
    <w:p>
      <w:pPr>
        <w:pStyle w:val="Heading1"/>
      </w:pPr>
      <w:r>
        <w:t>13. ESG, legal and regulatory</w:t>
      </w:r>
    </w:p>
    <w:p>
      <w:r>
        <w:t>The project is assumed to have completed a preliminary environmental and social assessment. Key open items are closure of community-access commitments, final biodiversity monitoring protocol, two land easements and construction-permit updates. No material litigation has been identified in the synthetic diligence summary.</w:t>
      </w:r>
    </w:p>
    <w:p>
      <w:pPr>
        <w:pStyle w:val="Heading1"/>
      </w:pPr>
      <w:r>
        <w:t>14. Recommendation and conditions</w:t>
      </w:r>
    </w:p>
    <w:p>
      <w:pPr>
        <w:pStyle w:val="ListBullet"/>
      </w:pPr>
      <w:r>
        <w:t>Approve progression to final documentation, subject to reconciliation of financial metrics across all submission documents.</w:t>
      </w:r>
    </w:p>
    <w:p>
      <w:pPr>
        <w:pStyle w:val="ListBullet"/>
      </w:pPr>
      <w:r>
        <w:t>Require independent merchant-price and offtaker-credit evidence before final commitment.</w:t>
      </w:r>
    </w:p>
    <w:p>
      <w:pPr>
        <w:pStyle w:val="ListBullet"/>
      </w:pPr>
      <w:r>
        <w:t>Require a combined downside and explicit BESS augmentation sensitivity.</w:t>
      </w:r>
    </w:p>
    <w:p>
      <w:pPr>
        <w:pStyle w:val="ListBullet"/>
      </w:pPr>
      <w:r>
        <w:t>Cap grid and advisory costs and reconcile potential overlapping technical and legal scopes.</w:t>
      </w:r>
    </w:p>
    <w:p>
      <w:pPr>
        <w:pStyle w:val="ListBullet"/>
      </w:pPr>
      <w:r>
        <w:t>Require closure of land, permitting, cybersecurity and decommissioning-funding actions.</w:t>
      </w:r>
    </w:p>
    <w:p>
      <w:pPr>
        <w:pStyle w:val="Heading1"/>
      </w:pPr>
      <w:r>
        <w:t>Appendix A - Submission data-room references</w:t>
      </w:r>
    </w:p>
    <w:p>
      <w:pPr>
        <w:pStyle w:val="ListBullet"/>
      </w:pPr>
      <w:r>
        <w:t>ADB_Gulf_Solar_BESS_Project_Page.pdf - public comparator reference.</w:t>
      </w:r>
    </w:p>
    <w:p>
      <w:pPr>
        <w:pStyle w:val="ListBullet"/>
      </w:pPr>
      <w:r>
        <w:t>ADB_Gulf_Solar_BESS_IEE.pdf - public environmental comparator reference.</w:t>
      </w:r>
    </w:p>
    <w:p>
      <w:pPr>
        <w:pStyle w:val="ListBullet"/>
      </w:pPr>
      <w:r>
        <w:t>IFC_Candi_Solar_CI_SII.txt - public solar/BESS investment disclosure comparator.</w:t>
      </w:r>
    </w:p>
    <w:p>
      <w:pPr>
        <w:pStyle w:val="ListBullet"/>
      </w:pPr>
      <w:r>
        <w:t>IFC_FRV_Solar_India_SII.txt - public solar investment disclosure comparator.</w:t>
      </w:r>
    </w:p>
    <w:p>
      <w:pPr>
        <w:pStyle w:val="ListBullet"/>
      </w:pPr>
      <w:r>
        <w:t>2024_v3_Model_Parameters.csv - public technology benchmark data.</w:t>
      </w:r>
    </w:p>
    <w:p>
      <w:pPr>
        <w:pStyle w:val="ListBullet"/>
      </w:pPr>
      <w:r>
        <w:t>WorldBank_PPI_Energy_Renewables_2000_2024.xlsx - public infrastructure project comparator data.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B40000"/>
        <w:sz w:val="16"/>
      </w:rPr>
      <w:t>SYNTHETIC POC DATA - NOT FOR INVESTMENT DECISION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6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6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36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