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65C"/>
          <w:sz w:val="50"/>
        </w:rPr>
        <w:t>INDEPENDENT MARKET &amp; BENCHMARK NOTE</w:t>
      </w:r>
    </w:p>
    <w:p>
      <w:pPr>
        <w:jc w:val="center"/>
      </w:pPr>
      <w:r>
        <w:rPr>
          <w:i/>
        </w:rPr>
        <w:t>Project Helios Solar &amp; Storage - Illustrative POC Support Document</w:t>
      </w:r>
    </w:p>
    <w:p>
      <w:pPr>
        <w:jc w:val="center"/>
      </w:pPr>
      <w:r>
        <w:rPr>
          <w:b/>
          <w:color w:val="C00000"/>
          <w:sz w:val="18"/>
        </w:rPr>
        <w:t>IMPORTANT: This document and all figures are entirely synthetic and were created solely for a proof-of-concept demonstration.</w:t>
      </w:r>
    </w:p>
    <w:p>
      <w:pPr>
        <w:pStyle w:val="Heading1"/>
      </w:pPr>
      <w:r>
        <w:t>1. Scope and limitations</w:t>
      </w:r>
    </w:p>
    <w:p>
      <w:r>
        <w:t>This synthetic note provides a compact market and benchmark reference for the POC. It is designed to test document retrieval, metric extraction, benchmark comparison and identification of unsupported assumptions. It is not investment advice and does not represent an actual market forecast.</w:t>
      </w:r>
    </w:p>
    <w:p>
      <w:pPr>
        <w:pStyle w:val="Heading1"/>
      </w:pPr>
      <w:r>
        <w:t>2. Illustrative market outlook</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6365C"/>
          </w:tcPr>
          <w:p>
            <w:r/>
            <w:r>
              <w:rPr>
                <w:b/>
                <w:color w:val="FFFFFF"/>
                <w:sz w:val="18"/>
              </w:rPr>
              <w:t>Year</w:t>
            </w:r>
          </w:p>
        </w:tc>
        <w:tc>
          <w:tcPr>
            <w:tcW w:type="dxa" w:w="2016"/>
            <w:vAlign w:val="center"/>
            <w:shd w:fill="16365C"/>
          </w:tcPr>
          <w:p>
            <w:r/>
            <w:r>
              <w:rPr>
                <w:b/>
                <w:color w:val="FFFFFF"/>
                <w:sz w:val="18"/>
              </w:rPr>
              <w:t>GDP growth</w:t>
            </w:r>
          </w:p>
        </w:tc>
        <w:tc>
          <w:tcPr>
            <w:tcW w:type="dxa" w:w="2016"/>
            <w:vAlign w:val="center"/>
            <w:shd w:fill="16365C"/>
          </w:tcPr>
          <w:p>
            <w:r/>
            <w:r>
              <w:rPr>
                <w:b/>
                <w:color w:val="FFFFFF"/>
                <w:sz w:val="18"/>
              </w:rPr>
              <w:t>Inflation</w:t>
            </w:r>
          </w:p>
        </w:tc>
        <w:tc>
          <w:tcPr>
            <w:tcW w:type="dxa" w:w="2016"/>
            <w:vAlign w:val="center"/>
            <w:shd w:fill="16365C"/>
          </w:tcPr>
          <w:p>
            <w:r/>
            <w:r>
              <w:rPr>
                <w:b/>
                <w:color w:val="FFFFFF"/>
                <w:sz w:val="18"/>
              </w:rPr>
              <w:t>THB/USD</w:t>
            </w:r>
          </w:p>
        </w:tc>
        <w:tc>
          <w:tcPr>
            <w:tcW w:type="dxa" w:w="2016"/>
            <w:vAlign w:val="center"/>
            <w:shd w:fill="16365C"/>
          </w:tcPr>
          <w:p>
            <w:r/>
            <w:r>
              <w:rPr>
                <w:b/>
                <w:color w:val="FFFFFF"/>
                <w:sz w:val="18"/>
              </w:rPr>
              <w:t>Merchant power price</w:t>
            </w:r>
          </w:p>
        </w:tc>
      </w:tr>
      <w:tr>
        <w:tc>
          <w:tcPr>
            <w:tcW w:type="dxa" w:w="2016"/>
            <w:vAlign w:val="center"/>
          </w:tcPr>
          <w:p>
            <w:r/>
            <w:r>
              <w:rPr>
                <w:b w:val="0"/>
                <w:sz w:val="18"/>
              </w:rPr>
              <w:t>2026</w:t>
            </w:r>
          </w:p>
        </w:tc>
        <w:tc>
          <w:tcPr>
            <w:tcW w:type="dxa" w:w="2016"/>
            <w:vAlign w:val="center"/>
          </w:tcPr>
          <w:p>
            <w:r/>
            <w:r>
              <w:rPr>
                <w:b w:val="0"/>
                <w:sz w:val="18"/>
              </w:rPr>
              <w:t>3.0%</w:t>
            </w:r>
          </w:p>
        </w:tc>
        <w:tc>
          <w:tcPr>
            <w:tcW w:type="dxa" w:w="2016"/>
            <w:vAlign w:val="center"/>
          </w:tcPr>
          <w:p>
            <w:r/>
            <w:r>
              <w:rPr>
                <w:b w:val="0"/>
                <w:sz w:val="18"/>
              </w:rPr>
              <w:t>1.5%</w:t>
            </w:r>
          </w:p>
        </w:tc>
        <w:tc>
          <w:tcPr>
            <w:tcW w:type="dxa" w:w="2016"/>
            <w:vAlign w:val="center"/>
          </w:tcPr>
          <w:p>
            <w:r/>
            <w:r>
              <w:rPr>
                <w:b w:val="0"/>
                <w:sz w:val="18"/>
              </w:rPr>
              <w:t>35.8</w:t>
            </w:r>
          </w:p>
        </w:tc>
        <w:tc>
          <w:tcPr>
            <w:tcW w:type="dxa" w:w="2016"/>
            <w:vAlign w:val="center"/>
          </w:tcPr>
          <w:p>
            <w:r/>
            <w:r>
              <w:rPr>
                <w:b w:val="0"/>
                <w:sz w:val="18"/>
              </w:rPr>
              <w:t>$61/MWh</w:t>
            </w:r>
          </w:p>
        </w:tc>
      </w:tr>
      <w:tr>
        <w:tc>
          <w:tcPr>
            <w:tcW w:type="dxa" w:w="2016"/>
            <w:vAlign w:val="center"/>
          </w:tcPr>
          <w:p>
            <w:r/>
            <w:r>
              <w:rPr>
                <w:b w:val="0"/>
                <w:sz w:val="18"/>
              </w:rPr>
              <w:t>2027</w:t>
            </w:r>
          </w:p>
        </w:tc>
        <w:tc>
          <w:tcPr>
            <w:tcW w:type="dxa" w:w="2016"/>
            <w:vAlign w:val="center"/>
          </w:tcPr>
          <w:p>
            <w:r/>
            <w:r>
              <w:rPr>
                <w:b w:val="0"/>
                <w:sz w:val="18"/>
              </w:rPr>
              <w:t>3.2%</w:t>
            </w:r>
          </w:p>
        </w:tc>
        <w:tc>
          <w:tcPr>
            <w:tcW w:type="dxa" w:w="2016"/>
            <w:vAlign w:val="center"/>
          </w:tcPr>
          <w:p>
            <w:r/>
            <w:r>
              <w:rPr>
                <w:b w:val="0"/>
                <w:sz w:val="18"/>
              </w:rPr>
              <w:t>1.8%</w:t>
            </w:r>
          </w:p>
        </w:tc>
        <w:tc>
          <w:tcPr>
            <w:tcW w:type="dxa" w:w="2016"/>
            <w:vAlign w:val="center"/>
          </w:tcPr>
          <w:p>
            <w:r/>
            <w:r>
              <w:rPr>
                <w:b w:val="0"/>
                <w:sz w:val="18"/>
              </w:rPr>
              <w:t>36.1</w:t>
            </w:r>
          </w:p>
        </w:tc>
        <w:tc>
          <w:tcPr>
            <w:tcW w:type="dxa" w:w="2016"/>
            <w:vAlign w:val="center"/>
          </w:tcPr>
          <w:p>
            <w:r/>
            <w:r>
              <w:rPr>
                <w:b w:val="0"/>
                <w:sz w:val="18"/>
              </w:rPr>
              <w:t>$63/MWh</w:t>
            </w:r>
          </w:p>
        </w:tc>
      </w:tr>
      <w:tr>
        <w:tc>
          <w:tcPr>
            <w:tcW w:type="dxa" w:w="2016"/>
            <w:vAlign w:val="center"/>
          </w:tcPr>
          <w:p>
            <w:r/>
            <w:r>
              <w:rPr>
                <w:b w:val="0"/>
                <w:sz w:val="18"/>
              </w:rPr>
              <w:t>2028</w:t>
            </w:r>
          </w:p>
        </w:tc>
        <w:tc>
          <w:tcPr>
            <w:tcW w:type="dxa" w:w="2016"/>
            <w:vAlign w:val="center"/>
          </w:tcPr>
          <w:p>
            <w:r/>
            <w:r>
              <w:rPr>
                <w:b w:val="0"/>
                <w:sz w:val="18"/>
              </w:rPr>
              <w:t>3.3%</w:t>
            </w:r>
          </w:p>
        </w:tc>
        <w:tc>
          <w:tcPr>
            <w:tcW w:type="dxa" w:w="2016"/>
            <w:vAlign w:val="center"/>
          </w:tcPr>
          <w:p>
            <w:r/>
            <w:r>
              <w:rPr>
                <w:b w:val="0"/>
                <w:sz w:val="18"/>
              </w:rPr>
              <w:t>2.0%</w:t>
            </w:r>
          </w:p>
        </w:tc>
        <w:tc>
          <w:tcPr>
            <w:tcW w:type="dxa" w:w="2016"/>
            <w:vAlign w:val="center"/>
          </w:tcPr>
          <w:p>
            <w:r/>
            <w:r>
              <w:rPr>
                <w:b w:val="0"/>
                <w:sz w:val="18"/>
              </w:rPr>
              <w:t>36.5</w:t>
            </w:r>
          </w:p>
        </w:tc>
        <w:tc>
          <w:tcPr>
            <w:tcW w:type="dxa" w:w="2016"/>
            <w:vAlign w:val="center"/>
          </w:tcPr>
          <w:p>
            <w:r/>
            <w:r>
              <w:rPr>
                <w:b w:val="0"/>
                <w:sz w:val="18"/>
              </w:rPr>
              <w:t>$64/MWh</w:t>
            </w:r>
          </w:p>
        </w:tc>
      </w:tr>
      <w:tr>
        <w:tc>
          <w:tcPr>
            <w:tcW w:type="dxa" w:w="2016"/>
            <w:vAlign w:val="center"/>
          </w:tcPr>
          <w:p>
            <w:r/>
            <w:r>
              <w:rPr>
                <w:b w:val="0"/>
                <w:sz w:val="18"/>
              </w:rPr>
              <w:t>2029</w:t>
            </w:r>
          </w:p>
        </w:tc>
        <w:tc>
          <w:tcPr>
            <w:tcW w:type="dxa" w:w="2016"/>
            <w:vAlign w:val="center"/>
          </w:tcPr>
          <w:p>
            <w:r/>
            <w:r>
              <w:rPr>
                <w:b w:val="0"/>
                <w:sz w:val="18"/>
              </w:rPr>
              <w:t>3.4%</w:t>
            </w:r>
          </w:p>
        </w:tc>
        <w:tc>
          <w:tcPr>
            <w:tcW w:type="dxa" w:w="2016"/>
            <w:vAlign w:val="center"/>
          </w:tcPr>
          <w:p>
            <w:r/>
            <w:r>
              <w:rPr>
                <w:b w:val="0"/>
                <w:sz w:val="18"/>
              </w:rPr>
              <w:t>2.1%</w:t>
            </w:r>
          </w:p>
        </w:tc>
        <w:tc>
          <w:tcPr>
            <w:tcW w:type="dxa" w:w="2016"/>
            <w:vAlign w:val="center"/>
          </w:tcPr>
          <w:p>
            <w:r/>
            <w:r>
              <w:rPr>
                <w:b w:val="0"/>
                <w:sz w:val="18"/>
              </w:rPr>
              <w:t>36.8</w:t>
            </w:r>
          </w:p>
        </w:tc>
        <w:tc>
          <w:tcPr>
            <w:tcW w:type="dxa" w:w="2016"/>
            <w:vAlign w:val="center"/>
          </w:tcPr>
          <w:p>
            <w:r/>
            <w:r>
              <w:rPr>
                <w:b w:val="0"/>
                <w:sz w:val="18"/>
              </w:rPr>
              <w:t>$65/MWh</w:t>
            </w:r>
          </w:p>
        </w:tc>
      </w:tr>
      <w:tr>
        <w:tc>
          <w:tcPr>
            <w:tcW w:type="dxa" w:w="2016"/>
            <w:vAlign w:val="center"/>
          </w:tcPr>
          <w:p>
            <w:r/>
            <w:r>
              <w:rPr>
                <w:b w:val="0"/>
                <w:sz w:val="18"/>
              </w:rPr>
              <w:t>2030</w:t>
            </w:r>
          </w:p>
        </w:tc>
        <w:tc>
          <w:tcPr>
            <w:tcW w:type="dxa" w:w="2016"/>
            <w:vAlign w:val="center"/>
          </w:tcPr>
          <w:p>
            <w:r/>
            <w:r>
              <w:rPr>
                <w:b w:val="0"/>
                <w:sz w:val="18"/>
              </w:rPr>
              <w:t>3.2%</w:t>
            </w:r>
          </w:p>
        </w:tc>
        <w:tc>
          <w:tcPr>
            <w:tcW w:type="dxa" w:w="2016"/>
            <w:vAlign w:val="center"/>
          </w:tcPr>
          <w:p>
            <w:r/>
            <w:r>
              <w:rPr>
                <w:b w:val="0"/>
                <w:sz w:val="18"/>
              </w:rPr>
              <w:t>2.0%</w:t>
            </w:r>
          </w:p>
        </w:tc>
        <w:tc>
          <w:tcPr>
            <w:tcW w:type="dxa" w:w="2016"/>
            <w:vAlign w:val="center"/>
          </w:tcPr>
          <w:p>
            <w:r/>
            <w:r>
              <w:rPr>
                <w:b w:val="0"/>
                <w:sz w:val="18"/>
              </w:rPr>
              <w:t>37.0</w:t>
            </w:r>
          </w:p>
        </w:tc>
        <w:tc>
          <w:tcPr>
            <w:tcW w:type="dxa" w:w="2016"/>
            <w:vAlign w:val="center"/>
          </w:tcPr>
          <w:p>
            <w:r/>
            <w:r>
              <w:rPr>
                <w:b w:val="0"/>
                <w:sz w:val="18"/>
              </w:rPr>
              <w:t>$66/MWh</w:t>
            </w:r>
          </w:p>
        </w:tc>
      </w:tr>
    </w:tbl>
    <w:p>
      <w:r>
        <w:t>The merchant-price path above is synthetic. The project submission references a similar curve but does not append an independent source or methodology.</w:t>
      </w:r>
    </w:p>
    <w:p>
      <w:pPr>
        <w:pStyle w:val="Heading1"/>
      </w:pPr>
      <w:r>
        <w:t>3. Solar and storage benchmark ranges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65C"/>
          </w:tcPr>
          <w:p>
            <w:r/>
            <w:r>
              <w:rPr>
                <w:b/>
                <w:color w:val="FFFFFF"/>
                <w:sz w:val="18"/>
              </w:rPr>
              <w:t>Metric</w:t>
            </w:r>
          </w:p>
        </w:tc>
        <w:tc>
          <w:tcPr>
            <w:tcW w:type="dxa" w:w="2520"/>
            <w:vAlign w:val="center"/>
            <w:shd w:fill="16365C"/>
          </w:tcPr>
          <w:p>
            <w:r/>
            <w:r>
              <w:rPr>
                <w:b/>
                <w:color w:val="FFFFFF"/>
                <w:sz w:val="18"/>
              </w:rPr>
              <w:t>Illustrative peer range</w:t>
            </w:r>
          </w:p>
        </w:tc>
        <w:tc>
          <w:tcPr>
            <w:tcW w:type="dxa" w:w="2520"/>
            <w:vAlign w:val="center"/>
            <w:shd w:fill="16365C"/>
          </w:tcPr>
          <w:p>
            <w:r/>
            <w:r>
              <w:rPr>
                <w:b/>
                <w:color w:val="FFFFFF"/>
                <w:sz w:val="18"/>
              </w:rPr>
              <w:t>Helios submission</w:t>
            </w:r>
          </w:p>
        </w:tc>
        <w:tc>
          <w:tcPr>
            <w:tcW w:type="dxa" w:w="2520"/>
            <w:vAlign w:val="center"/>
            <w:shd w:fill="16365C"/>
          </w:tcPr>
          <w:p>
            <w:r/>
            <w:r>
              <w:rPr>
                <w:b/>
                <w:color w:val="FFFFFF"/>
                <w:sz w:val="18"/>
              </w:rPr>
              <w:t>Observation</w:t>
            </w:r>
          </w:p>
        </w:tc>
      </w:tr>
      <w:tr>
        <w:tc>
          <w:tcPr>
            <w:tcW w:type="dxa" w:w="2520"/>
            <w:vAlign w:val="center"/>
          </w:tcPr>
          <w:p>
            <w:r/>
            <w:r>
              <w:rPr>
                <w:b w:val="0"/>
                <w:sz w:val="18"/>
              </w:rPr>
              <w:t>Solar EPC cost</w:t>
            </w:r>
          </w:p>
        </w:tc>
        <w:tc>
          <w:tcPr>
            <w:tcW w:type="dxa" w:w="2520"/>
            <w:vAlign w:val="center"/>
          </w:tcPr>
          <w:p>
            <w:r/>
            <w:r>
              <w:rPr>
                <w:b w:val="0"/>
                <w:sz w:val="18"/>
              </w:rPr>
              <w:t>USD 0.55-0.75m/MW</w:t>
            </w:r>
          </w:p>
        </w:tc>
        <w:tc>
          <w:tcPr>
            <w:tcW w:type="dxa" w:w="2520"/>
            <w:vAlign w:val="center"/>
          </w:tcPr>
          <w:p>
            <w:r/>
            <w:r>
              <w:rPr>
                <w:b w:val="0"/>
                <w:sz w:val="18"/>
              </w:rPr>
              <w:t>USD 0.61m/MW excluding BESS</w:t>
            </w:r>
          </w:p>
        </w:tc>
        <w:tc>
          <w:tcPr>
            <w:tcW w:type="dxa" w:w="2520"/>
            <w:vAlign w:val="center"/>
          </w:tcPr>
          <w:p>
            <w:r/>
            <w:r>
              <w:rPr>
                <w:b w:val="0"/>
                <w:sz w:val="18"/>
              </w:rPr>
              <w:t>Within range</w:t>
            </w:r>
          </w:p>
        </w:tc>
      </w:tr>
      <w:tr>
        <w:tc>
          <w:tcPr>
            <w:tcW w:type="dxa" w:w="2520"/>
            <w:vAlign w:val="center"/>
          </w:tcPr>
          <w:p>
            <w:r/>
            <w:r>
              <w:rPr>
                <w:b w:val="0"/>
                <w:sz w:val="18"/>
              </w:rPr>
              <w:t>BESS equipment</w:t>
            </w:r>
          </w:p>
        </w:tc>
        <w:tc>
          <w:tcPr>
            <w:tcW w:type="dxa" w:w="2520"/>
            <w:vAlign w:val="center"/>
          </w:tcPr>
          <w:p>
            <w:r/>
            <w:r>
              <w:rPr>
                <w:b w:val="0"/>
                <w:sz w:val="18"/>
              </w:rPr>
              <w:t>USD 0.20-0.25m/MWh</w:t>
            </w:r>
          </w:p>
        </w:tc>
        <w:tc>
          <w:tcPr>
            <w:tcW w:type="dxa" w:w="2520"/>
            <w:vAlign w:val="center"/>
          </w:tcPr>
          <w:p>
            <w:r/>
            <w:r>
              <w:rPr>
                <w:b w:val="0"/>
                <w:sz w:val="18"/>
              </w:rPr>
              <w:t>USD 0.26m/MWh</w:t>
            </w:r>
          </w:p>
        </w:tc>
        <w:tc>
          <w:tcPr>
            <w:tcW w:type="dxa" w:w="2520"/>
            <w:vAlign w:val="center"/>
          </w:tcPr>
          <w:p>
            <w:r/>
            <w:r>
              <w:rPr>
                <w:b w:val="0"/>
                <w:sz w:val="18"/>
              </w:rPr>
              <w:t>Upper end / above range</w:t>
            </w:r>
          </w:p>
        </w:tc>
      </w:tr>
      <w:tr>
        <w:tc>
          <w:tcPr>
            <w:tcW w:type="dxa" w:w="2520"/>
            <w:vAlign w:val="center"/>
          </w:tcPr>
          <w:p>
            <w:r/>
            <w:r>
              <w:rPr>
                <w:b w:val="0"/>
                <w:sz w:val="18"/>
              </w:rPr>
              <w:t>Grid connection</w:t>
            </w:r>
          </w:p>
        </w:tc>
        <w:tc>
          <w:tcPr>
            <w:tcW w:type="dxa" w:w="2520"/>
            <w:vAlign w:val="center"/>
          </w:tcPr>
          <w:p>
            <w:r/>
            <w:r>
              <w:rPr>
                <w:b w:val="0"/>
                <w:sz w:val="18"/>
              </w:rPr>
              <w:t>5%-8% of total cost</w:t>
            </w:r>
          </w:p>
        </w:tc>
        <w:tc>
          <w:tcPr>
            <w:tcW w:type="dxa" w:w="2520"/>
            <w:vAlign w:val="center"/>
          </w:tcPr>
          <w:p>
            <w:r/>
            <w:r>
              <w:rPr>
                <w:b w:val="0"/>
                <w:sz w:val="18"/>
              </w:rPr>
              <w:t>8.7%</w:t>
            </w:r>
          </w:p>
        </w:tc>
        <w:tc>
          <w:tcPr>
            <w:tcW w:type="dxa" w:w="2520"/>
            <w:vAlign w:val="center"/>
          </w:tcPr>
          <w:p>
            <w:r/>
            <w:r>
              <w:rPr>
                <w:b w:val="0"/>
                <w:sz w:val="18"/>
              </w:rPr>
              <w:t>Above range</w:t>
            </w:r>
          </w:p>
        </w:tc>
      </w:tr>
      <w:tr>
        <w:tc>
          <w:tcPr>
            <w:tcW w:type="dxa" w:w="2520"/>
            <w:vAlign w:val="center"/>
          </w:tcPr>
          <w:p>
            <w:r/>
            <w:r>
              <w:rPr>
                <w:b w:val="0"/>
                <w:sz w:val="18"/>
              </w:rPr>
              <w:t>Contingency</w:t>
            </w:r>
          </w:p>
        </w:tc>
        <w:tc>
          <w:tcPr>
            <w:tcW w:type="dxa" w:w="2520"/>
            <w:vAlign w:val="center"/>
          </w:tcPr>
          <w:p>
            <w:r/>
            <w:r>
              <w:rPr>
                <w:b w:val="0"/>
                <w:sz w:val="18"/>
              </w:rPr>
              <w:t>3%-5% of construction cost</w:t>
            </w:r>
          </w:p>
        </w:tc>
        <w:tc>
          <w:tcPr>
            <w:tcW w:type="dxa" w:w="2520"/>
            <w:vAlign w:val="center"/>
          </w:tcPr>
          <w:p>
            <w:r/>
            <w:r>
              <w:rPr>
                <w:b w:val="0"/>
                <w:sz w:val="18"/>
              </w:rPr>
              <w:t>6%+ of total project cost</w:t>
            </w:r>
          </w:p>
        </w:tc>
        <w:tc>
          <w:tcPr>
            <w:tcW w:type="dxa" w:w="2520"/>
            <w:vAlign w:val="center"/>
          </w:tcPr>
          <w:p>
            <w:r/>
            <w:r>
              <w:rPr>
                <w:b w:val="0"/>
                <w:sz w:val="18"/>
              </w:rPr>
              <w:t>High</w:t>
            </w:r>
          </w:p>
        </w:tc>
      </w:tr>
      <w:tr>
        <w:tc>
          <w:tcPr>
            <w:tcW w:type="dxa" w:w="2520"/>
            <w:vAlign w:val="center"/>
          </w:tcPr>
          <w:p>
            <w:r/>
            <w:r>
              <w:rPr>
                <w:b w:val="0"/>
                <w:sz w:val="18"/>
              </w:rPr>
              <w:t>Corporate overhead</w:t>
            </w:r>
          </w:p>
        </w:tc>
        <w:tc>
          <w:tcPr>
            <w:tcW w:type="dxa" w:w="2520"/>
            <w:vAlign w:val="center"/>
          </w:tcPr>
          <w:p>
            <w:r/>
            <w:r>
              <w:rPr>
                <w:b w:val="0"/>
                <w:sz w:val="18"/>
              </w:rPr>
              <w:t>1%-3% of total cost</w:t>
            </w:r>
          </w:p>
        </w:tc>
        <w:tc>
          <w:tcPr>
            <w:tcW w:type="dxa" w:w="2520"/>
            <w:vAlign w:val="center"/>
          </w:tcPr>
          <w:p>
            <w:r/>
            <w:r>
              <w:rPr>
                <w:b w:val="0"/>
                <w:sz w:val="18"/>
              </w:rPr>
              <w:t>4.2%</w:t>
            </w:r>
          </w:p>
        </w:tc>
        <w:tc>
          <w:tcPr>
            <w:tcW w:type="dxa" w:w="2520"/>
            <w:vAlign w:val="center"/>
          </w:tcPr>
          <w:p>
            <w:r/>
            <w:r>
              <w:rPr>
                <w:b w:val="0"/>
                <w:sz w:val="18"/>
              </w:rPr>
              <w:t>High</w:t>
            </w:r>
          </w:p>
        </w:tc>
      </w:tr>
      <w:tr>
        <w:tc>
          <w:tcPr>
            <w:tcW w:type="dxa" w:w="2520"/>
            <w:vAlign w:val="center"/>
          </w:tcPr>
          <w:p>
            <w:r/>
            <w:r>
              <w:rPr>
                <w:b w:val="0"/>
                <w:sz w:val="18"/>
              </w:rPr>
              <w:t>Net capacity factor</w:t>
            </w:r>
          </w:p>
        </w:tc>
        <w:tc>
          <w:tcPr>
            <w:tcW w:type="dxa" w:w="2520"/>
            <w:vAlign w:val="center"/>
          </w:tcPr>
          <w:p>
            <w:r/>
            <w:r>
              <w:rPr>
                <w:b w:val="0"/>
                <w:sz w:val="18"/>
              </w:rPr>
              <w:t>22%-25%</w:t>
            </w:r>
          </w:p>
        </w:tc>
        <w:tc>
          <w:tcPr>
            <w:tcW w:type="dxa" w:w="2520"/>
            <w:vAlign w:val="center"/>
          </w:tcPr>
          <w:p>
            <w:r/>
            <w:r>
              <w:rPr>
                <w:b w:val="0"/>
                <w:sz w:val="18"/>
              </w:rPr>
              <w:t>24.7%-25.5% across documents</w:t>
            </w:r>
          </w:p>
        </w:tc>
        <w:tc>
          <w:tcPr>
            <w:tcW w:type="dxa" w:w="2520"/>
            <w:vAlign w:val="center"/>
          </w:tcPr>
          <w:p>
            <w:r/>
            <w:r>
              <w:rPr>
                <w:b w:val="0"/>
                <w:sz w:val="18"/>
              </w:rPr>
              <w:t>Plausible but inconsistent</w:t>
            </w:r>
          </w:p>
        </w:tc>
      </w:tr>
    </w:tbl>
    <w:p>
      <w:pPr>
        <w:pStyle w:val="Heading1"/>
      </w:pPr>
      <w:r>
        <w:t>4. Key benchmark challenges</w:t>
      </w:r>
    </w:p>
    <w:p>
      <w:pPr>
        <w:pStyle w:val="ListBullet"/>
      </w:pPr>
      <w:r>
        <w:t>Reconcile the project cost across the deck, memorandum and workbook.</w:t>
      </w:r>
    </w:p>
    <w:p>
      <w:pPr>
        <w:pStyle w:val="ListBullet"/>
      </w:pPr>
      <w:r>
        <w:t>Support the BESS equipment cost and augmentation assumptions with firm supplier quotations.</w:t>
      </w:r>
    </w:p>
    <w:p>
      <w:pPr>
        <w:pStyle w:val="ListBullet"/>
      </w:pPr>
      <w:r>
        <w:t>Validate grid reinforcement scope and whether any utility contribution is available.</w:t>
      </w:r>
    </w:p>
    <w:p>
      <w:pPr>
        <w:pStyle w:val="ListBullet"/>
      </w:pPr>
      <w:r>
        <w:t>Demonstrate that advisory and corporate-overhead scopes do not overlap.</w:t>
      </w:r>
    </w:p>
    <w:p>
      <w:pPr>
        <w:pStyle w:val="ListBullet"/>
      </w:pPr>
      <w:r>
        <w:t>Provide an independent merchant curve and downside confidence range.</w:t>
      </w:r>
    </w:p>
    <w:p>
      <w:pPr>
        <w:pStyle w:val="ListBullet"/>
      </w:pPr>
      <w:r>
        <w:t>Quantify the return impact of delayed COD, combined downside and battery augmentation.</w:t>
      </w:r>
    </w:p>
    <w:p>
      <w:pPr>
        <w:pStyle w:val="Heading1"/>
      </w:pPr>
      <w:r>
        <w:t>5. Public comparator references available in the POC repository</w:t>
      </w:r>
    </w:p>
    <w:p>
      <w:pPr>
        <w:pStyle w:val="ListBullet"/>
      </w:pPr>
      <w:r>
        <w:t>ADB Gulf Solar and Solar with BESS project documents.</w:t>
      </w:r>
    </w:p>
    <w:p>
      <w:pPr>
        <w:pStyle w:val="ListBullet"/>
      </w:pPr>
      <w:r>
        <w:t>ADB utility-scale BESS and floating-solar project pages.</w:t>
      </w:r>
    </w:p>
    <w:p>
      <w:pPr>
        <w:pStyle w:val="ListBullet"/>
      </w:pPr>
      <w:r>
        <w:t>IFC solar, renewables-platform and BESS disclosures.</w:t>
      </w:r>
    </w:p>
    <w:p>
      <w:pPr>
        <w:pStyle w:val="ListBullet"/>
      </w:pPr>
      <w:r>
        <w:t>World Bank Private Participation in Infrastructure project database.</w:t>
      </w:r>
    </w:p>
    <w:p>
      <w:pPr>
        <w:pStyle w:val="ListBullet"/>
      </w:pPr>
      <w:r>
        <w:t>NREL Annual Technology Baseline model parameters.</w:t>
      </w:r>
    </w:p>
    <w:p>
      <w:pPr>
        <w:pStyle w:val="ListBullet"/>
      </w:pPr>
      <w:r>
        <w:t>SEC annual reports and XBRL facts for selected renewable-energy companies.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B40000"/>
        <w:sz w:val="16"/>
      </w:rPr>
      <w:t>SYNTHETIC POC DATA - NOT FOR INVESTMENT DECISION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6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6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36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