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C2240"/>
          <w:sz w:val="36"/>
        </w:rPr>
        <w:t>PROJECT BARQ</w:t>
      </w:r>
    </w:p>
    <w:p>
      <w:pPr>
        <w:jc w:val="center"/>
      </w:pPr>
      <w:r>
        <w:rPr>
          <w:color w:val="586877"/>
          <w:sz w:val="20"/>
        </w:rPr>
        <w:t>Synthetic Market and Benchmark Note | ADDC / TAQA Distribution Grid Modernisation</w:t>
      </w:r>
    </w:p>
    <w:p>
      <w:pPr>
        <w:jc w:val="center"/>
      </w:pPr>
      <w:r>
        <w:rPr>
          <w:i/>
          <w:color w:val="BE3737"/>
          <w:sz w:val="17"/>
        </w:rPr>
        <w:t>Synthetic POC data only - not for investment decision-making</w:t>
      </w:r>
    </w:p>
    <w:p>
      <w:pPr>
        <w:spacing w:after="80"/>
      </w:pPr>
      <w:r>
        <w:rPr>
          <w:b/>
        </w:rPr>
        <w:t>1. Public context</w:t>
      </w:r>
    </w:p>
    <w:p>
      <w:pPr>
        <w:spacing w:after="80"/>
      </w:pPr>
      <w:r>
        <w:rPr>
          <w:b w:val="0"/>
        </w:rPr>
        <w:t>TAQA Distribution is used as the public corporate context for this synthetic pack. Public sources indicate that ADDC and AADC were unified under the TAQA Distribution brand from 2025, and that the distribution business plans, operates and maintains power and water distribution networks across Abu Dhabi regions. The investment case below is synthetic and does not represent ADDC, TAQA, TAQA Distribution, or any actual approved programme.</w:t>
      </w:r>
    </w:p>
    <w:p>
      <w:pPr>
        <w:spacing w:after="80"/>
      </w:pPr>
      <w:r>
        <w:rPr>
          <w:b w:val="0"/>
        </w:rPr>
        <w:t>Source URLs used only for public context: https://www.addc.ae/en-US/home/pages/AboutUs.aspx ; https://taqadistribution.com/ ; https://www.mediaoffice.abudhabi/en/topic/abu-dhabi-distribution-company-addc/ ; https://taqatransmission.com/node/111</w:t>
      </w:r>
    </w:p>
    <w:p>
      <w:pPr>
        <w:spacing w:after="80"/>
      </w:pPr>
      <w:r>
        <w:rPr>
          <w:b/>
        </w:rPr>
        <w:t>2. Market need and investment thesis</w:t>
      </w:r>
    </w:p>
    <w:p>
      <w:pPr>
        <w:spacing w:after="80"/>
      </w:pPr>
      <w:r>
        <w:rPr>
          <w:b w:val="0"/>
        </w:rPr>
        <w:t>Abu Dhabi distribution utilities face a structurally attractive digital-grid investment thesis: customer growth, high service reliability expectations, water-loss reduction priorities, smart metering, and the need for cyber-resilient operations. Project Barq is positioned as a multi-year capex programme across smart meters, distribution automation, water telemetry, ADMS and data integration. The market note assumes the programme serves approximately 495,000 affected electricity and water customers, compared with 450,000 in the IC deck and 455,000 smart meters in the CSV.</w:t>
      </w:r>
    </w:p>
    <w:p>
      <w:pPr>
        <w:spacing w:after="80"/>
      </w:pPr>
      <w:r>
        <w:rPr>
          <w:b/>
        </w:rPr>
        <w:t>3. Benchmark summary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0C2240"/>
          </w:tcPr>
          <w:p>
            <w:r/>
            <w:r>
              <w:rPr>
                <w:rFonts w:ascii="Aptos" w:hAnsi="Aptos"/>
                <w:b/>
                <w:color w:val="FFFFFF"/>
                <w:sz w:val="16"/>
              </w:rPr>
              <w:t>Benchmark metric</w:t>
            </w:r>
          </w:p>
        </w:tc>
        <w:tc>
          <w:tcPr>
            <w:tcW w:type="dxa" w:w="2045"/>
            <w:vAlign w:val="center"/>
            <w:shd w:fill="0C2240"/>
          </w:tcPr>
          <w:p>
            <w:r/>
            <w:r>
              <w:rPr>
                <w:rFonts w:ascii="Aptos" w:hAnsi="Aptos"/>
                <w:b/>
                <w:color w:val="FFFFFF"/>
                <w:sz w:val="16"/>
              </w:rPr>
              <w:t>Project Barq note</w:t>
            </w:r>
          </w:p>
        </w:tc>
        <w:tc>
          <w:tcPr>
            <w:tcW w:type="dxa" w:w="2045"/>
            <w:vAlign w:val="center"/>
            <w:shd w:fill="0C2240"/>
          </w:tcPr>
          <w:p>
            <w:r/>
            <w:r>
              <w:rPr>
                <w:rFonts w:ascii="Aptos" w:hAnsi="Aptos"/>
                <w:b/>
                <w:color w:val="FFFFFF"/>
                <w:sz w:val="16"/>
              </w:rPr>
              <w:t>Typical comparator range</w:t>
            </w:r>
          </w:p>
        </w:tc>
        <w:tc>
          <w:tcPr>
            <w:tcW w:type="dxa" w:w="2045"/>
            <w:vAlign w:val="center"/>
            <w:shd w:fill="0C2240"/>
          </w:tcPr>
          <w:p>
            <w:r/>
            <w:r>
              <w:rPr>
                <w:rFonts w:ascii="Aptos" w:hAnsi="Aptos"/>
                <w:b/>
                <w:color w:val="FFFFFF"/>
                <w:sz w:val="16"/>
              </w:rPr>
              <w:t>Assessment</w:t>
            </w:r>
          </w:p>
        </w:tc>
        <w:tc>
          <w:tcPr>
            <w:tcW w:type="dxa" w:w="2045"/>
            <w:vAlign w:val="center"/>
            <w:shd w:fill="0C2240"/>
          </w:tcPr>
          <w:p>
            <w:r/>
            <w:r>
              <w:rPr>
                <w:rFonts w:ascii="Aptos" w:hAnsi="Aptos"/>
                <w:b/>
                <w:color w:val="FFFFFF"/>
                <w:sz w:val="16"/>
              </w:rPr>
              <w:t>RAG flag</w:t>
            </w:r>
          </w:p>
        </w:tc>
      </w:tr>
      <w:tr>
        <w:tc>
          <w:tcPr>
            <w:tcW w:type="dxa" w:w="2045"/>
            <w:vAlign w:val="center"/>
          </w:tcPr>
          <w:p>
            <w:r/>
            <w:r>
              <w:rPr>
                <w:rFonts w:ascii="Aptos" w:hAnsi="Aptos"/>
                <w:b w:val="0"/>
                <w:color w:val="0C2240"/>
                <w:sz w:val="16"/>
              </w:rPr>
              <w:t>Total programme capex</w:t>
            </w:r>
          </w:p>
        </w:tc>
        <w:tc>
          <w:tcPr>
            <w:tcW w:type="dxa" w:w="2045"/>
            <w:vAlign w:val="center"/>
          </w:tcPr>
          <w:p>
            <w:r/>
            <w:r>
              <w:rPr>
                <w:rFonts w:ascii="Aptos" w:hAnsi="Aptos"/>
                <w:b w:val="0"/>
                <w:color w:val="0C2240"/>
                <w:sz w:val="16"/>
              </w:rPr>
              <w:t>AED 1.16bn</w:t>
            </w:r>
          </w:p>
        </w:tc>
        <w:tc>
          <w:tcPr>
            <w:tcW w:type="dxa" w:w="2045"/>
            <w:vAlign w:val="center"/>
          </w:tcPr>
          <w:p>
            <w:r/>
            <w:r>
              <w:rPr>
                <w:rFonts w:ascii="Aptos" w:hAnsi="Aptos"/>
                <w:b w:val="0"/>
                <w:color w:val="0C2240"/>
                <w:sz w:val="16"/>
              </w:rPr>
              <w:t>AED 0.9bn - 1.4bn for comparable multi-year roll-outs</w:t>
            </w:r>
          </w:p>
        </w:tc>
        <w:tc>
          <w:tcPr>
            <w:tcW w:type="dxa" w:w="2045"/>
            <w:vAlign w:val="center"/>
          </w:tcPr>
          <w:p>
            <w:r/>
            <w:r>
              <w:rPr>
                <w:rFonts w:ascii="Aptos" w:hAnsi="Aptos"/>
                <w:b w:val="0"/>
                <w:color w:val="0C2240"/>
                <w:sz w:val="16"/>
              </w:rPr>
              <w:t>Plausible, but differs from deck and CSV</w:t>
            </w:r>
          </w:p>
        </w:tc>
        <w:tc>
          <w:tcPr>
            <w:tcW w:type="dxa" w:w="2045"/>
            <w:vAlign w:val="center"/>
            <w:shd w:fill="FFF0F0"/>
          </w:tcPr>
          <w:p>
            <w:r/>
            <w:r>
              <w:rPr>
                <w:rFonts w:ascii="Aptos" w:hAnsi="Aptos"/>
                <w:b w:val="0"/>
                <w:color w:val="0C2240"/>
                <w:sz w:val="16"/>
              </w:rPr>
              <w:t>CAPEX_VARIANCE</w:t>
            </w:r>
          </w:p>
        </w:tc>
      </w:tr>
      <w:tr>
        <w:tc>
          <w:tcPr>
            <w:tcW w:type="dxa" w:w="2045"/>
            <w:vAlign w:val="center"/>
          </w:tcPr>
          <w:p>
            <w:r/>
            <w:r>
              <w:rPr>
                <w:rFonts w:ascii="Aptos" w:hAnsi="Aptos"/>
                <w:b w:val="0"/>
                <w:color w:val="0C2240"/>
                <w:sz w:val="16"/>
              </w:rPr>
              <w:t>Capex per targeted customer</w:t>
            </w:r>
          </w:p>
        </w:tc>
        <w:tc>
          <w:tcPr>
            <w:tcW w:type="dxa" w:w="2045"/>
            <w:vAlign w:val="center"/>
          </w:tcPr>
          <w:p>
            <w:r/>
            <w:r>
              <w:rPr>
                <w:rFonts w:ascii="Aptos" w:hAnsi="Aptos"/>
                <w:b w:val="0"/>
                <w:color w:val="0C2240"/>
                <w:sz w:val="16"/>
              </w:rPr>
              <w:t>AED 2.34k</w:t>
            </w:r>
          </w:p>
        </w:tc>
        <w:tc>
          <w:tcPr>
            <w:tcW w:type="dxa" w:w="2045"/>
            <w:vAlign w:val="center"/>
          </w:tcPr>
          <w:p>
            <w:r/>
            <w:r>
              <w:rPr>
                <w:rFonts w:ascii="Aptos" w:hAnsi="Aptos"/>
                <w:b w:val="0"/>
                <w:color w:val="0C2240"/>
                <w:sz w:val="16"/>
              </w:rPr>
              <w:t>AED 1.9k - 2.7k</w:t>
            </w:r>
          </w:p>
        </w:tc>
        <w:tc>
          <w:tcPr>
            <w:tcW w:type="dxa" w:w="2045"/>
            <w:vAlign w:val="center"/>
          </w:tcPr>
          <w:p>
            <w:r/>
            <w:r>
              <w:rPr>
                <w:rFonts w:ascii="Aptos" w:hAnsi="Aptos"/>
                <w:b w:val="0"/>
                <w:color w:val="0C2240"/>
                <w:sz w:val="16"/>
              </w:rPr>
              <w:t>Within benchmark range</w:t>
            </w:r>
          </w:p>
        </w:tc>
        <w:tc>
          <w:tcPr>
            <w:tcW w:type="dxa" w:w="2045"/>
            <w:vAlign w:val="center"/>
          </w:tcPr>
          <w:p>
            <w:r/>
            <w:r>
              <w:rPr>
                <w:rFonts w:ascii="Aptos" w:hAnsi="Aptos"/>
                <w:b w:val="0"/>
                <w:color w:val="0C2240"/>
                <w:sz w:val="16"/>
              </w:rPr>
            </w:r>
          </w:p>
        </w:tc>
      </w:tr>
      <w:tr>
        <w:tc>
          <w:tcPr>
            <w:tcW w:type="dxa" w:w="2045"/>
            <w:vAlign w:val="center"/>
          </w:tcPr>
          <w:p>
            <w:r/>
            <w:r>
              <w:rPr>
                <w:rFonts w:ascii="Aptos" w:hAnsi="Aptos"/>
                <w:b w:val="0"/>
                <w:color w:val="0C2240"/>
                <w:sz w:val="16"/>
              </w:rPr>
              <w:t>AMI cost per meter</w:t>
            </w:r>
          </w:p>
        </w:tc>
        <w:tc>
          <w:tcPr>
            <w:tcW w:type="dxa" w:w="2045"/>
            <w:vAlign w:val="center"/>
          </w:tcPr>
          <w:p>
            <w:r/>
            <w:r>
              <w:rPr>
                <w:rFonts w:ascii="Aptos" w:hAnsi="Aptos"/>
                <w:b w:val="0"/>
                <w:color w:val="0C2240"/>
                <w:sz w:val="16"/>
              </w:rPr>
              <w:t>AED 690</w:t>
            </w:r>
          </w:p>
        </w:tc>
        <w:tc>
          <w:tcPr>
            <w:tcW w:type="dxa" w:w="2045"/>
            <w:vAlign w:val="center"/>
          </w:tcPr>
          <w:p>
            <w:r/>
            <w:r>
              <w:rPr>
                <w:rFonts w:ascii="Aptos" w:hAnsi="Aptos"/>
                <w:b w:val="0"/>
                <w:color w:val="0C2240"/>
                <w:sz w:val="16"/>
              </w:rPr>
              <w:t>AED 560 - 850</w:t>
            </w:r>
          </w:p>
        </w:tc>
        <w:tc>
          <w:tcPr>
            <w:tcW w:type="dxa" w:w="2045"/>
            <w:vAlign w:val="center"/>
          </w:tcPr>
          <w:p>
            <w:r/>
            <w:r>
              <w:rPr>
                <w:rFonts w:ascii="Aptos" w:hAnsi="Aptos"/>
                <w:b w:val="0"/>
                <w:color w:val="0C2240"/>
                <w:sz w:val="16"/>
              </w:rPr>
              <w:t>Within range</w:t>
            </w:r>
          </w:p>
        </w:tc>
        <w:tc>
          <w:tcPr>
            <w:tcW w:type="dxa" w:w="2045"/>
            <w:vAlign w:val="center"/>
          </w:tcPr>
          <w:p>
            <w:r/>
            <w:r>
              <w:rPr>
                <w:rFonts w:ascii="Aptos" w:hAnsi="Aptos"/>
                <w:b w:val="0"/>
                <w:color w:val="0C2240"/>
                <w:sz w:val="16"/>
              </w:rPr>
            </w:r>
          </w:p>
        </w:tc>
      </w:tr>
      <w:tr>
        <w:tc>
          <w:tcPr>
            <w:tcW w:type="dxa" w:w="2045"/>
            <w:vAlign w:val="center"/>
          </w:tcPr>
          <w:p>
            <w:r/>
            <w:r>
              <w:rPr>
                <w:rFonts w:ascii="Aptos" w:hAnsi="Aptos"/>
                <w:b w:val="0"/>
                <w:color w:val="0C2240"/>
                <w:sz w:val="16"/>
              </w:rPr>
              <w:t>ADMS / OMS cost as % of capex</w:t>
            </w:r>
          </w:p>
        </w:tc>
        <w:tc>
          <w:tcPr>
            <w:tcW w:type="dxa" w:w="2045"/>
            <w:vAlign w:val="center"/>
          </w:tcPr>
          <w:p>
            <w:r/>
            <w:r>
              <w:rPr>
                <w:rFonts w:ascii="Aptos" w:hAnsi="Aptos"/>
                <w:b w:val="0"/>
                <w:color w:val="0C2240"/>
                <w:sz w:val="16"/>
              </w:rPr>
              <w:t>12.5%</w:t>
            </w:r>
          </w:p>
        </w:tc>
        <w:tc>
          <w:tcPr>
            <w:tcW w:type="dxa" w:w="2045"/>
            <w:vAlign w:val="center"/>
          </w:tcPr>
          <w:p>
            <w:r/>
            <w:r>
              <w:rPr>
                <w:rFonts w:ascii="Aptos" w:hAnsi="Aptos"/>
                <w:b w:val="0"/>
                <w:color w:val="0C2240"/>
                <w:sz w:val="16"/>
              </w:rPr>
              <w:t>7% - 11%</w:t>
            </w:r>
          </w:p>
        </w:tc>
        <w:tc>
          <w:tcPr>
            <w:tcW w:type="dxa" w:w="2045"/>
            <w:vAlign w:val="center"/>
          </w:tcPr>
          <w:p>
            <w:r/>
            <w:r>
              <w:rPr>
                <w:rFonts w:ascii="Aptos" w:hAnsi="Aptos"/>
                <w:b w:val="0"/>
                <w:color w:val="0C2240"/>
                <w:sz w:val="16"/>
              </w:rPr>
              <w:t>High vs comparator range</w:t>
            </w:r>
          </w:p>
        </w:tc>
        <w:tc>
          <w:tcPr>
            <w:tcW w:type="dxa" w:w="2045"/>
            <w:vAlign w:val="center"/>
            <w:shd w:fill="FFF0F0"/>
          </w:tcPr>
          <w:p>
            <w:r/>
            <w:r>
              <w:rPr>
                <w:rFonts w:ascii="Aptos" w:hAnsi="Aptos"/>
                <w:b w:val="0"/>
                <w:color w:val="0C2240"/>
                <w:sz w:val="16"/>
              </w:rPr>
              <w:t>HIGH_ADMS_COST</w:t>
            </w:r>
          </w:p>
        </w:tc>
      </w:tr>
      <w:tr>
        <w:tc>
          <w:tcPr>
            <w:tcW w:type="dxa" w:w="2045"/>
            <w:vAlign w:val="center"/>
          </w:tcPr>
          <w:p>
            <w:r/>
            <w:r>
              <w:rPr>
                <w:rFonts w:ascii="Aptos" w:hAnsi="Aptos"/>
                <w:b w:val="0"/>
                <w:color w:val="0C2240"/>
                <w:sz w:val="16"/>
              </w:rPr>
              <w:t>Contingency allowance</w:t>
            </w:r>
          </w:p>
        </w:tc>
        <w:tc>
          <w:tcPr>
            <w:tcW w:type="dxa" w:w="2045"/>
            <w:vAlign w:val="center"/>
          </w:tcPr>
          <w:p>
            <w:r/>
            <w:r>
              <w:rPr>
                <w:rFonts w:ascii="Aptos" w:hAnsi="Aptos"/>
                <w:b w:val="0"/>
                <w:color w:val="0C2240"/>
                <w:sz w:val="16"/>
              </w:rPr>
              <w:t>6.8%</w:t>
            </w:r>
          </w:p>
        </w:tc>
        <w:tc>
          <w:tcPr>
            <w:tcW w:type="dxa" w:w="2045"/>
            <w:vAlign w:val="center"/>
          </w:tcPr>
          <w:p>
            <w:r/>
            <w:r>
              <w:rPr>
                <w:rFonts w:ascii="Aptos" w:hAnsi="Aptos"/>
                <w:b w:val="0"/>
                <w:color w:val="0C2240"/>
                <w:sz w:val="16"/>
              </w:rPr>
              <w:t>8% - 12%</w:t>
            </w:r>
          </w:p>
        </w:tc>
        <w:tc>
          <w:tcPr>
            <w:tcW w:type="dxa" w:w="2045"/>
            <w:vAlign w:val="center"/>
          </w:tcPr>
          <w:p>
            <w:r/>
            <w:r>
              <w:rPr>
                <w:rFonts w:ascii="Aptos" w:hAnsi="Aptos"/>
                <w:b w:val="0"/>
                <w:color w:val="0C2240"/>
                <w:sz w:val="16"/>
              </w:rPr>
              <w:t>Below recommended range</w:t>
            </w:r>
          </w:p>
        </w:tc>
        <w:tc>
          <w:tcPr>
            <w:tcW w:type="dxa" w:w="2045"/>
            <w:vAlign w:val="center"/>
            <w:shd w:fill="FFF0F0"/>
          </w:tcPr>
          <w:p>
            <w:r/>
            <w:r>
              <w:rPr>
                <w:rFonts w:ascii="Aptos" w:hAnsi="Aptos"/>
                <w:b w:val="0"/>
                <w:color w:val="0C2240"/>
                <w:sz w:val="16"/>
              </w:rPr>
              <w:t>LOW_CONTINGENCY</w:t>
            </w:r>
          </w:p>
        </w:tc>
      </w:tr>
      <w:tr>
        <w:tc>
          <w:tcPr>
            <w:tcW w:type="dxa" w:w="2045"/>
            <w:vAlign w:val="center"/>
          </w:tcPr>
          <w:p>
            <w:r/>
            <w:r>
              <w:rPr>
                <w:rFonts w:ascii="Aptos" w:hAnsi="Aptos"/>
                <w:b w:val="0"/>
                <w:color w:val="0C2240"/>
                <w:sz w:val="16"/>
              </w:rPr>
              <w:t>Cyber and OT resilience</w:t>
            </w:r>
          </w:p>
        </w:tc>
        <w:tc>
          <w:tcPr>
            <w:tcW w:type="dxa" w:w="2045"/>
            <w:vAlign w:val="center"/>
          </w:tcPr>
          <w:p>
            <w:r/>
            <w:r>
              <w:rPr>
                <w:rFonts w:ascii="Aptos" w:hAnsi="Aptos"/>
                <w:b w:val="0"/>
                <w:color w:val="0C2240"/>
                <w:sz w:val="16"/>
              </w:rPr>
              <w:t>3.2% of capex</w:t>
            </w:r>
          </w:p>
        </w:tc>
        <w:tc>
          <w:tcPr>
            <w:tcW w:type="dxa" w:w="2045"/>
            <w:vAlign w:val="center"/>
          </w:tcPr>
          <w:p>
            <w:r/>
            <w:r>
              <w:rPr>
                <w:rFonts w:ascii="Aptos" w:hAnsi="Aptos"/>
                <w:b w:val="0"/>
                <w:color w:val="0C2240"/>
                <w:sz w:val="16"/>
              </w:rPr>
              <w:t>3% - 6%</w:t>
            </w:r>
          </w:p>
        </w:tc>
        <w:tc>
          <w:tcPr>
            <w:tcW w:type="dxa" w:w="2045"/>
            <w:vAlign w:val="center"/>
          </w:tcPr>
          <w:p>
            <w:r/>
            <w:r>
              <w:rPr>
                <w:rFonts w:ascii="Aptos" w:hAnsi="Aptos"/>
                <w:b w:val="0"/>
                <w:color w:val="0C2240"/>
                <w:sz w:val="16"/>
              </w:rPr>
              <w:t>Low-mid, but audit scope missing</w:t>
            </w:r>
          </w:p>
        </w:tc>
        <w:tc>
          <w:tcPr>
            <w:tcW w:type="dxa" w:w="2045"/>
            <w:vAlign w:val="center"/>
            <w:shd w:fill="FFF0F0"/>
          </w:tcPr>
          <w:p>
            <w:r/>
            <w:r>
              <w:rPr>
                <w:rFonts w:ascii="Aptos" w:hAnsi="Aptos"/>
                <w:b w:val="0"/>
                <w:color w:val="0C2240"/>
                <w:sz w:val="16"/>
              </w:rPr>
              <w:t>CYBER_SCOPE_GAP</w:t>
            </w:r>
          </w:p>
        </w:tc>
      </w:tr>
      <w:tr>
        <w:tc>
          <w:tcPr>
            <w:tcW w:type="dxa" w:w="2045"/>
            <w:vAlign w:val="center"/>
          </w:tcPr>
          <w:p>
            <w:r/>
            <w:r>
              <w:rPr>
                <w:rFonts w:ascii="Aptos" w:hAnsi="Aptos"/>
                <w:b w:val="0"/>
                <w:color w:val="0C2240"/>
                <w:sz w:val="16"/>
              </w:rPr>
              <w:t>Water telemetry districts</w:t>
            </w:r>
          </w:p>
        </w:tc>
        <w:tc>
          <w:tcPr>
            <w:tcW w:type="dxa" w:w="2045"/>
            <w:vAlign w:val="center"/>
          </w:tcPr>
          <w:p>
            <w:r/>
            <w:r>
              <w:rPr>
                <w:rFonts w:ascii="Aptos" w:hAnsi="Aptos"/>
                <w:b w:val="0"/>
                <w:color w:val="0C2240"/>
                <w:sz w:val="16"/>
              </w:rPr>
              <w:t>24 DMAs</w:t>
            </w:r>
          </w:p>
        </w:tc>
        <w:tc>
          <w:tcPr>
            <w:tcW w:type="dxa" w:w="2045"/>
            <w:vAlign w:val="center"/>
          </w:tcPr>
          <w:p>
            <w:r/>
            <w:r>
              <w:rPr>
                <w:rFonts w:ascii="Aptos" w:hAnsi="Aptos"/>
                <w:b w:val="0"/>
                <w:color w:val="0C2240"/>
                <w:sz w:val="16"/>
              </w:rPr>
              <w:t>20 - 30 in comparable phased deployments</w:t>
            </w:r>
          </w:p>
        </w:tc>
        <w:tc>
          <w:tcPr>
            <w:tcW w:type="dxa" w:w="2045"/>
            <w:vAlign w:val="center"/>
          </w:tcPr>
          <w:p>
            <w:r/>
            <w:r>
              <w:rPr>
                <w:rFonts w:ascii="Aptos" w:hAnsi="Aptos"/>
                <w:b w:val="0"/>
                <w:color w:val="0C2240"/>
                <w:sz w:val="16"/>
              </w:rPr>
              <w:t>Within range, but deck shows 25 and CSV shows 23</w:t>
            </w:r>
          </w:p>
        </w:tc>
        <w:tc>
          <w:tcPr>
            <w:tcW w:type="dxa" w:w="2045"/>
            <w:vAlign w:val="center"/>
            <w:shd w:fill="FFF0F0"/>
          </w:tcPr>
          <w:p>
            <w:r/>
            <w:r>
              <w:rPr>
                <w:rFonts w:ascii="Aptos" w:hAnsi="Aptos"/>
                <w:b w:val="0"/>
                <w:color w:val="0C2240"/>
                <w:sz w:val="16"/>
              </w:rPr>
              <w:t>DMA_COUNT_VARIANCE</w:t>
            </w:r>
          </w:p>
        </w:tc>
      </w:tr>
      <w:tr>
        <w:tc>
          <w:tcPr>
            <w:tcW w:type="dxa" w:w="2045"/>
            <w:vAlign w:val="center"/>
          </w:tcPr>
          <w:p>
            <w:r/>
            <w:r>
              <w:rPr>
                <w:rFonts w:ascii="Aptos" w:hAnsi="Aptos"/>
                <w:b w:val="0"/>
                <w:color w:val="0C2240"/>
                <w:sz w:val="16"/>
              </w:rPr>
              <w:t>Opex savings per meter per year</w:t>
            </w:r>
          </w:p>
        </w:tc>
        <w:tc>
          <w:tcPr>
            <w:tcW w:type="dxa" w:w="2045"/>
            <w:vAlign w:val="center"/>
          </w:tcPr>
          <w:p>
            <w:r/>
            <w:r>
              <w:rPr>
                <w:rFonts w:ascii="Aptos" w:hAnsi="Aptos"/>
                <w:b w:val="0"/>
                <w:color w:val="0C2240"/>
                <w:sz w:val="16"/>
              </w:rPr>
              <w:t>AED 275</w:t>
            </w:r>
          </w:p>
        </w:tc>
        <w:tc>
          <w:tcPr>
            <w:tcW w:type="dxa" w:w="2045"/>
            <w:vAlign w:val="center"/>
          </w:tcPr>
          <w:p>
            <w:r/>
            <w:r>
              <w:rPr>
                <w:rFonts w:ascii="Aptos" w:hAnsi="Aptos"/>
                <w:b w:val="0"/>
                <w:color w:val="0C2240"/>
                <w:sz w:val="16"/>
              </w:rPr>
              <w:t>AED 180 - 310</w:t>
            </w:r>
          </w:p>
        </w:tc>
        <w:tc>
          <w:tcPr>
            <w:tcW w:type="dxa" w:w="2045"/>
            <w:vAlign w:val="center"/>
          </w:tcPr>
          <w:p>
            <w:r/>
            <w:r>
              <w:rPr>
                <w:rFonts w:ascii="Aptos" w:hAnsi="Aptos"/>
                <w:b w:val="0"/>
                <w:color w:val="0C2240"/>
                <w:sz w:val="16"/>
              </w:rPr>
              <w:t>Upper-range but plausible</w:t>
            </w:r>
          </w:p>
        </w:tc>
        <w:tc>
          <w:tcPr>
            <w:tcW w:type="dxa" w:w="2045"/>
            <w:vAlign w:val="center"/>
            <w:shd w:fill="FFF0F0"/>
          </w:tcPr>
          <w:p>
            <w:r/>
            <w:r>
              <w:rPr>
                <w:rFonts w:ascii="Aptos" w:hAnsi="Aptos"/>
                <w:b w:val="0"/>
                <w:color w:val="0C2240"/>
                <w:sz w:val="16"/>
              </w:rPr>
              <w:t>BENEFIT_EVIDENCE_GAP</w:t>
            </w:r>
          </w:p>
        </w:tc>
      </w:tr>
    </w:tbl>
    <w:p>
      <w:pPr>
        <w:spacing w:after="80"/>
      </w:pPr>
      <w:r>
        <w:rPr>
          <w:b/>
        </w:rPr>
        <w:t>4. Comparator interpretation</w:t>
      </w:r>
    </w:p>
    <w:p>
      <w:pPr>
        <w:spacing w:after="80"/>
      </w:pPr>
      <w:r>
        <w:rPr>
          <w:b w:val="0"/>
        </w:rPr>
        <w:t>The overall capex level is benchmark-plausible, but the cost mix requires diligence. ADMS and integration costs sit above the indicative comparator range, while contingency is lower than expected for a complex multi-vendor roll-out. The note therefore supports conditional approval but does not support unconditional final investment decision without additional evidence.</w:t>
      </w:r>
    </w:p>
    <w:p>
      <w:pPr>
        <w:spacing w:after="80"/>
      </w:pPr>
      <w:r>
        <w:rPr>
          <w:b/>
        </w:rPr>
        <w:t>5. Key market risks</w:t>
      </w:r>
    </w:p>
    <w:p>
      <w:pPr>
        <w:spacing w:after="60"/>
        <w:ind w:left="259"/>
      </w:pPr>
      <w:r>
        <w:rPr>
          <w:rFonts w:ascii="Aptos" w:hAnsi="Aptos"/>
          <w:b/>
          <w:color w:val="0C2240"/>
          <w:sz w:val="18"/>
        </w:rPr>
        <w:t xml:space="preserve">Regulatory recovery: </w:t>
      </w:r>
      <w:r>
        <w:rPr>
          <w:rFonts w:ascii="Aptos" w:hAnsi="Aptos"/>
          <w:sz w:val="18"/>
        </w:rPr>
        <w:t>The market attractiveness depends on timely approval and recovery of incremental asset-base value. A formal regulatory treatment letter is not included in the synthetic pack.</w:t>
      </w:r>
    </w:p>
    <w:p>
      <w:pPr>
        <w:spacing w:after="60"/>
        <w:ind w:left="259"/>
      </w:pPr>
      <w:r>
        <w:rPr>
          <w:rFonts w:ascii="Aptos" w:hAnsi="Aptos"/>
          <w:b/>
          <w:color w:val="0C2240"/>
          <w:sz w:val="18"/>
        </w:rPr>
        <w:t xml:space="preserve">Cyber resilience: </w:t>
      </w:r>
      <w:r>
        <w:rPr>
          <w:rFonts w:ascii="Aptos" w:hAnsi="Aptos"/>
          <w:sz w:val="18"/>
        </w:rPr>
        <w:t>Operational technology exposure is significant because AMI, ADMS and remote switching expand the digital attack surface. The capex includes cyber allocation, but the independent test scope is absent.</w:t>
      </w:r>
    </w:p>
    <w:p>
      <w:pPr>
        <w:spacing w:after="60"/>
        <w:ind w:left="259"/>
      </w:pPr>
      <w:r>
        <w:rPr>
          <w:rFonts w:ascii="Aptos" w:hAnsi="Aptos"/>
          <w:b/>
          <w:color w:val="0C2240"/>
          <w:sz w:val="18"/>
        </w:rPr>
        <w:t xml:space="preserve">Vendor capacity and delivery risk: </w:t>
      </w:r>
      <w:r>
        <w:rPr>
          <w:rFonts w:ascii="Aptos" w:hAnsi="Aptos"/>
          <w:sz w:val="18"/>
        </w:rPr>
        <w:t>AMI and automation programmes are exposed to meter supply, communications modules, field crew productivity and outage-window constraints.</w:t>
      </w:r>
    </w:p>
    <w:p>
      <w:pPr>
        <w:spacing w:after="60"/>
        <w:ind w:left="259"/>
      </w:pPr>
      <w:r>
        <w:rPr>
          <w:rFonts w:ascii="Aptos" w:hAnsi="Aptos"/>
          <w:b/>
          <w:color w:val="0C2240"/>
          <w:sz w:val="18"/>
        </w:rPr>
        <w:t xml:space="preserve">Benefit realization: </w:t>
      </w:r>
      <w:r>
        <w:rPr>
          <w:rFonts w:ascii="Aptos" w:hAnsi="Aptos"/>
          <w:sz w:val="18"/>
        </w:rPr>
        <w:t>Opex savings and loss-reduction benefits are within plausible ranges, but the pack lacks a robust baseline reconciliation and independent methodology support.</w:t>
      </w:r>
    </w:p>
    <w:p>
      <w:pPr>
        <w:spacing w:after="80"/>
      </w:pPr>
      <w:r>
        <w:rPr>
          <w:b/>
        </w:rPr>
        <w:t>6. Diligence requests before final IC approval</w:t>
      </w:r>
    </w:p>
    <w:p>
      <w:pPr>
        <w:spacing w:after="40"/>
        <w:ind w:left="360"/>
      </w:pPr>
      <w:r>
        <w:rPr>
          <w:rFonts w:ascii="Aptos" w:hAnsi="Aptos"/>
          <w:sz w:val="18"/>
        </w:rPr>
        <w:t>• Reconcile the three different capex figures: AED 1.145bn in CSV, AED 1.18bn in IC deck and AED 1.16bn in this market note.</w:t>
      </w:r>
    </w:p>
    <w:p>
      <w:pPr>
        <w:spacing w:after="40"/>
        <w:ind w:left="360"/>
      </w:pPr>
      <w:r>
        <w:rPr>
          <w:rFonts w:ascii="Aptos" w:hAnsi="Aptos"/>
          <w:sz w:val="18"/>
        </w:rPr>
        <w:t>• Reconcile smart-meter / affected-customer counts across the CSV, deck and market note.</w:t>
      </w:r>
    </w:p>
    <w:p>
      <w:pPr>
        <w:spacing w:after="40"/>
        <w:ind w:left="360"/>
      </w:pPr>
      <w:r>
        <w:rPr>
          <w:rFonts w:ascii="Aptos" w:hAnsi="Aptos"/>
          <w:sz w:val="18"/>
        </w:rPr>
        <w:t>• Obtain formal regulatory cost-recovery evidence and approved asset-base treatment.</w:t>
      </w:r>
    </w:p>
    <w:p>
      <w:pPr>
        <w:spacing w:after="40"/>
        <w:ind w:left="360"/>
      </w:pPr>
      <w:r>
        <w:rPr>
          <w:rFonts w:ascii="Aptos" w:hAnsi="Aptos"/>
          <w:sz w:val="18"/>
        </w:rPr>
        <w:t>• Benchmark ADMS, integration and cyber cost lines against binding vendor quotes.</w:t>
      </w:r>
    </w:p>
    <w:p>
      <w:pPr>
        <w:spacing w:after="40"/>
        <w:ind w:left="360"/>
      </w:pPr>
      <w:r>
        <w:rPr>
          <w:rFonts w:ascii="Aptos" w:hAnsi="Aptos"/>
          <w:sz w:val="18"/>
        </w:rPr>
        <w:t>• Increase contingency to peer range or explain risk transfer through fixed-price procurement.</w:t>
      </w:r>
    </w:p>
    <w:p>
      <w:pPr>
        <w:spacing w:after="40"/>
        <w:ind w:left="360"/>
      </w:pPr>
      <w:r>
        <w:rPr>
          <w:rFonts w:ascii="Aptos" w:hAnsi="Aptos"/>
          <w:sz w:val="18"/>
        </w:rPr>
        <w:t>• Run a combined downside case incorporating capex overrun, delayed benefits and recovery lag.</w:t>
      </w:r>
    </w:p>
    <w:p>
      <w:pPr>
        <w:spacing w:after="80"/>
      </w:pPr>
      <w:r>
        <w:rPr>
          <w:b/>
        </w:rPr>
        <w:t>7. Synthetic POC design notes</w:t>
      </w:r>
    </w:p>
    <w:p>
      <w:pPr>
        <w:spacing w:after="80"/>
      </w:pPr>
      <w:r>
        <w:rPr>
          <w:b w:val="0"/>
        </w:rPr>
        <w:t>This document intentionally contains controlled inconsistencies against the IC deck and CSV. The purpose is to test document extraction, chunking, RAG retrieval, cross-document inconsistency detection, metric extraction and completeness assessment.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86877"/>
        <w:sz w:val="16"/>
      </w:rPr>
      <w:t>Synthetic POC data only | Not for investment decision-making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86877"/>
        <w:sz w:val="16"/>
      </w:rPr>
      <w:t>Synthetic Project Barq | Market and Benchmark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C22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C22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C22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