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00D4A6E" w14:textId="0DA96886" w:rsidR="00841B19" w:rsidRPr="00B74EFD" w:rsidRDefault="00F36D0E" w:rsidP="00B74EFD">
      <w:pPr>
        <w:pStyle w:val="Author"/>
        <w:spacing w:after="220"/>
        <w:rPr>
          <w:bCs w:val="0"/>
          <w:iCs w:val="0"/>
          <w:sz w:val="48"/>
          <w:szCs w:val="48"/>
        </w:rPr>
      </w:pPr>
      <w:r w:rsidRPr="00F36D0E">
        <w:rPr>
          <w:bCs w:val="0"/>
          <w:iCs w:val="0"/>
          <w:sz w:val="48"/>
          <w:szCs w:val="48"/>
        </w:rPr>
        <w:t xml:space="preserve">Using Logistic Regression to Determine U.S. Equity </w:t>
      </w:r>
      <w:r w:rsidR="003164F3">
        <w:rPr>
          <w:bCs w:val="0"/>
          <w:iCs w:val="0"/>
          <w:sz w:val="48"/>
          <w:szCs w:val="48"/>
        </w:rPr>
        <w:t>Alpha</w:t>
      </w:r>
    </w:p>
    <w:p w14:paraId="786ABACB" w14:textId="77777777" w:rsidR="00F36D0E" w:rsidRDefault="00F36D0E" w:rsidP="00B74EFD">
      <w:pPr>
        <w:pStyle w:val="Affiliation"/>
        <w:spacing w:after="200"/>
        <w:rPr>
          <w:sz w:val="22"/>
          <w:szCs w:val="22"/>
        </w:rPr>
      </w:pPr>
      <w:r w:rsidRPr="00F36D0E">
        <w:rPr>
          <w:sz w:val="22"/>
          <w:szCs w:val="22"/>
        </w:rPr>
        <w:t>Lana Gidan, Matthew Golubow, and Shahd Tarman</w:t>
      </w:r>
    </w:p>
    <w:p w14:paraId="5F778079" w14:textId="4C1988F2" w:rsidR="00841B19" w:rsidRDefault="00F36D0E" w:rsidP="00B74EFD">
      <w:pPr>
        <w:pStyle w:val="Affiliation"/>
      </w:pPr>
      <w:r>
        <w:t>Binghamton University</w:t>
      </w:r>
      <w:r w:rsidR="00841B19">
        <w:t>,</w:t>
      </w:r>
      <w:r w:rsidR="00841B19" w:rsidRPr="00715BE8">
        <w:t xml:space="preserve"> </w:t>
      </w:r>
      <w:r w:rsidR="00FC31E5">
        <w:t>lgidan@binghamton.edu</w:t>
      </w:r>
      <w:r w:rsidR="00841B19">
        <w:t>,</w:t>
      </w:r>
      <w:r w:rsidR="00FC31E5">
        <w:t xml:space="preserve"> mgolubo1@binghamton.edu</w:t>
      </w:r>
      <w:r w:rsidR="00B74EFD">
        <w:t>,</w:t>
      </w:r>
      <w:r>
        <w:t xml:space="preserve"> starman</w:t>
      </w:r>
      <w:r w:rsidR="00841B19">
        <w:t>@</w:t>
      </w:r>
      <w:r>
        <w:t>binghamton</w:t>
      </w:r>
      <w:r w:rsidR="00841B19">
        <w:t>.edu</w:t>
      </w:r>
    </w:p>
    <w:p w14:paraId="3A1B9C3A" w14:textId="77777777" w:rsidR="00B74EFD" w:rsidRPr="00B74EFD" w:rsidRDefault="00B74EFD" w:rsidP="00B74EFD">
      <w:pPr>
        <w:pStyle w:val="Affiliation"/>
        <w:jc w:val="left"/>
      </w:pPr>
    </w:p>
    <w:p w14:paraId="06888564" w14:textId="77777777" w:rsidR="00841B19" w:rsidRPr="00436279" w:rsidRDefault="00841B19" w:rsidP="00F36D0E">
      <w:pPr>
        <w:pStyle w:val="BodyText"/>
        <w:ind w:firstLine="0"/>
      </w:pPr>
    </w:p>
    <w:p w14:paraId="3E72023A" w14:textId="77777777" w:rsidR="00841B19" w:rsidRPr="00715BE8" w:rsidRDefault="00841B19">
      <w:pPr>
        <w:pStyle w:val="BodyText"/>
        <w:sectPr w:rsidR="00841B19" w:rsidRPr="00715BE8">
          <w:endnotePr>
            <w:numFmt w:val="decimal"/>
          </w:endnotePr>
          <w:type w:val="continuous"/>
          <w:pgSz w:w="12240" w:h="15840" w:code="1"/>
          <w:pgMar w:top="1080" w:right="1080" w:bottom="1440" w:left="1080" w:header="720" w:footer="720" w:gutter="0"/>
          <w:cols w:space="720"/>
        </w:sectPr>
      </w:pPr>
    </w:p>
    <w:p w14:paraId="44357A66" w14:textId="77777777" w:rsidR="008D09D1" w:rsidRDefault="00841B19" w:rsidP="008D09D1">
      <w:pPr>
        <w:pStyle w:val="Abstract"/>
      </w:pPr>
      <w:r w:rsidRPr="00715BE8">
        <w:rPr>
          <w:i/>
        </w:rPr>
        <w:t>Abstract</w:t>
      </w:r>
      <w:r w:rsidR="00F36D0E">
        <w:t xml:space="preserve"> – </w:t>
      </w:r>
      <w:r w:rsidR="008D09D1">
        <w:t>Generating outsized returns relative to a benchmark remains a central objective in quantitative finance. This paper applies logistic regression to 15 years’ worth of financial data to determine if alpha can be generated against the Standard and Poor’s 500 quarter over quarter performance. The study incorporates company specific financial repo</w:t>
      </w:r>
      <w:bookmarkStart w:id="0" w:name="_GoBack"/>
      <w:bookmarkEnd w:id="0"/>
      <w:r w:rsidR="008D09D1">
        <w:t>rts and macroeconomic datapoints to determine if outperformers of an index can be accurately determined for the subsequent quarter, based on available current quarter information. Techniques applied in this study include multicollinearity correction mechanisms, data standardization, and optimal value cutoff determination. Full model logistic regression performance is compared against models bifurcated according to market capitalization and sector, and gradient boosted analogs to determine the best predictive efficacy. Accuracy scores ranging from 53-61% are demonstrated, posing a moderate challenge to the Efficient Market Hypothesis.</w:t>
      </w:r>
    </w:p>
    <w:p w14:paraId="25F57508" w14:textId="77777777" w:rsidR="00F36D0E" w:rsidRPr="00715BE8" w:rsidRDefault="00F36D0E" w:rsidP="00841B19">
      <w:pPr>
        <w:pStyle w:val="Abstract"/>
      </w:pPr>
    </w:p>
    <w:p w14:paraId="2F7C237A" w14:textId="639CC1D4" w:rsidR="00841B19" w:rsidRPr="00715BE8" w:rsidRDefault="00841B19" w:rsidP="00841B19">
      <w:pPr>
        <w:pStyle w:val="FirstParagraph"/>
      </w:pPr>
      <w:r w:rsidRPr="00715BE8">
        <w:rPr>
          <w:i/>
        </w:rPr>
        <w:t>Index Terms</w:t>
      </w:r>
      <w:r w:rsidRPr="00715BE8">
        <w:t xml:space="preserve"> </w:t>
      </w:r>
      <w:r w:rsidR="007D05FF">
        <w:t xml:space="preserve">– </w:t>
      </w:r>
      <w:r w:rsidR="00620132">
        <w:t>a</w:t>
      </w:r>
      <w:r w:rsidR="007D05FF">
        <w:t xml:space="preserve">lpha, </w:t>
      </w:r>
      <w:r w:rsidR="00620132">
        <w:t>e</w:t>
      </w:r>
      <w:r w:rsidR="007D05FF">
        <w:t xml:space="preserve">fficient </w:t>
      </w:r>
      <w:r w:rsidR="00620132">
        <w:t>m</w:t>
      </w:r>
      <w:r w:rsidR="007D05FF">
        <w:t xml:space="preserve">arket </w:t>
      </w:r>
      <w:r w:rsidR="00620132">
        <w:t>h</w:t>
      </w:r>
      <w:r w:rsidR="007D05FF">
        <w:t xml:space="preserve">ypothesis, </w:t>
      </w:r>
      <w:r w:rsidR="00620132">
        <w:t>l</w:t>
      </w:r>
      <w:r w:rsidR="007D05FF">
        <w:t xml:space="preserve">ogistic </w:t>
      </w:r>
      <w:r w:rsidR="00620132">
        <w:t>r</w:t>
      </w:r>
      <w:r w:rsidR="007D05FF">
        <w:t xml:space="preserve">egression, </w:t>
      </w:r>
      <w:r w:rsidR="00620132">
        <w:t>m</w:t>
      </w:r>
      <w:r w:rsidR="007D05FF">
        <w:t xml:space="preserve">ulticollinearity, </w:t>
      </w:r>
      <w:r w:rsidR="00620132">
        <w:t>p</w:t>
      </w:r>
      <w:r w:rsidR="007D05FF">
        <w:t xml:space="preserve">rincipal </w:t>
      </w:r>
      <w:r w:rsidR="00620132">
        <w:t>c</w:t>
      </w:r>
      <w:r w:rsidR="007D05FF">
        <w:t xml:space="preserve">omponent </w:t>
      </w:r>
      <w:r w:rsidR="00620132">
        <w:t>a</w:t>
      </w:r>
      <w:r w:rsidR="007D05FF">
        <w:t>nalysis (PCA</w:t>
      </w:r>
      <w:r w:rsidR="0059383C">
        <w:t xml:space="preserve">) </w:t>
      </w:r>
      <w:r w:rsidR="007D05FF">
        <w:t>, Standard &amp; Poor’s (S&amp;P) 500 Index</w:t>
      </w:r>
      <w:r>
        <w:t>.</w:t>
      </w:r>
    </w:p>
    <w:p w14:paraId="4869D4E3" w14:textId="78CBA507" w:rsidR="00841B19" w:rsidRPr="00715BE8" w:rsidRDefault="0059383C" w:rsidP="001B01E3">
      <w:pPr>
        <w:pStyle w:val="SectionHeading"/>
      </w:pPr>
      <w:r>
        <w:t>Introduction</w:t>
      </w:r>
    </w:p>
    <w:p w14:paraId="1237B75A" w14:textId="049DD784" w:rsidR="00036E9C" w:rsidRDefault="00036E9C" w:rsidP="00036E9C">
      <w:pPr>
        <w:pStyle w:val="Text"/>
        <w:ind w:firstLine="0"/>
        <w:rPr>
          <w:lang w:eastAsia="pt-BR"/>
        </w:rPr>
      </w:pPr>
      <w:r w:rsidRPr="00036E9C">
        <w:rPr>
          <w:lang w:eastAsia="pt-BR"/>
        </w:rPr>
        <w:t xml:space="preserve">The </w:t>
      </w:r>
      <w:r w:rsidR="00620132">
        <w:rPr>
          <w:lang w:eastAsia="pt-BR"/>
        </w:rPr>
        <w:t xml:space="preserve">1970 addendum to the </w:t>
      </w:r>
      <w:r w:rsidRPr="00036E9C">
        <w:rPr>
          <w:lang w:eastAsia="pt-BR"/>
        </w:rPr>
        <w:t>Securities Exchange Act of 1934 mandates that all publicly traded companies disclose quarterly financial statements</w:t>
      </w:r>
      <w:r w:rsidR="00620132">
        <w:rPr>
          <w:lang w:eastAsia="pt-BR"/>
        </w:rPr>
        <w:t xml:space="preserve"> [1]</w:t>
      </w:r>
      <w:r w:rsidRPr="00036E9C">
        <w:rPr>
          <w:lang w:eastAsia="pt-BR"/>
        </w:rPr>
        <w:t xml:space="preserve">. Originally created as a mechanism to mitigate fraudulent behavior and ensure symmetric information availability in the markets, these disclosures provide a rich, publicly available time series of financial information that investors routinely use to evaluate company health and relative value. The reports provide a </w:t>
      </w:r>
      <w:r>
        <w:rPr>
          <w:lang w:eastAsia="pt-BR"/>
        </w:rPr>
        <w:t xml:space="preserve">time-stamped </w:t>
      </w:r>
      <w:r w:rsidRPr="00036E9C">
        <w:rPr>
          <w:lang w:eastAsia="pt-BR"/>
        </w:rPr>
        <w:t>snapshot of company performance and include information regarding assets, debt, and other measurements pertinent to monetary valuation</w:t>
      </w:r>
      <w:r w:rsidR="00620132">
        <w:rPr>
          <w:lang w:eastAsia="pt-BR"/>
        </w:rPr>
        <w:t xml:space="preserve"> [2]</w:t>
      </w:r>
      <w:r w:rsidRPr="00036E9C">
        <w:rPr>
          <w:lang w:eastAsia="pt-BR"/>
        </w:rPr>
        <w:t>.</w:t>
      </w:r>
      <w:r>
        <w:rPr>
          <w:lang w:eastAsia="pt-BR"/>
        </w:rPr>
        <w:t xml:space="preserve"> </w:t>
      </w:r>
    </w:p>
    <w:p w14:paraId="52A9E4F6" w14:textId="0BA0EE74" w:rsidR="00036E9C" w:rsidRDefault="00036E9C" w:rsidP="00036E9C">
      <w:pPr>
        <w:pStyle w:val="Text"/>
        <w:ind w:firstLine="0"/>
        <w:rPr>
          <w:lang w:eastAsia="pt-BR"/>
        </w:rPr>
      </w:pPr>
      <w:r>
        <w:rPr>
          <w:lang w:eastAsia="pt-BR"/>
        </w:rPr>
        <w:tab/>
      </w:r>
      <w:r w:rsidRPr="00036E9C">
        <w:rPr>
          <w:lang w:eastAsia="pt-BR"/>
        </w:rPr>
        <w:t xml:space="preserve">The Standard and Poor’s </w:t>
      </w:r>
      <w:r>
        <w:rPr>
          <w:lang w:eastAsia="pt-BR"/>
        </w:rPr>
        <w:t xml:space="preserve">(S&amp;P) </w:t>
      </w:r>
      <w:r w:rsidRPr="00036E9C">
        <w:rPr>
          <w:lang w:eastAsia="pt-BR"/>
        </w:rPr>
        <w:t>500 index is one of the most actively traded indices in the world, and provides investors with an opportunity to directly participate in the ownership of the largest 500 public</w:t>
      </w:r>
      <w:r>
        <w:rPr>
          <w:lang w:eastAsia="pt-BR"/>
        </w:rPr>
        <w:t xml:space="preserve">ly traded </w:t>
      </w:r>
      <w:r w:rsidRPr="00036E9C">
        <w:rPr>
          <w:lang w:eastAsia="pt-BR"/>
        </w:rPr>
        <w:t xml:space="preserve">companies in America. The S&amp;P 500 is a broad market index that is weighted by market cap by company, and is often used to describe wider American economic performance. Passive </w:t>
      </w:r>
      <w:r w:rsidR="00620132">
        <w:rPr>
          <w:lang w:eastAsia="pt-BR"/>
        </w:rPr>
        <w:t>i</w:t>
      </w:r>
      <w:r w:rsidRPr="00036E9C">
        <w:rPr>
          <w:lang w:eastAsia="pt-BR"/>
        </w:rPr>
        <w:t xml:space="preserve">nvesting, a long-term buy and hold strategy, is often closely associated with purchasing S&amp;P 500 exchange </w:t>
      </w:r>
      <w:r>
        <w:rPr>
          <w:lang w:eastAsia="pt-BR"/>
        </w:rPr>
        <w:t>trade</w:t>
      </w:r>
      <w:r w:rsidRPr="00036E9C">
        <w:rPr>
          <w:lang w:eastAsia="pt-BR"/>
        </w:rPr>
        <w:t xml:space="preserve"> fund (ETF) shares to capture</w:t>
      </w:r>
      <w:r w:rsidR="00620132">
        <w:rPr>
          <w:lang w:eastAsia="pt-BR"/>
        </w:rPr>
        <w:t xml:space="preserve"> broad market</w:t>
      </w:r>
      <w:r w:rsidRPr="00036E9C">
        <w:rPr>
          <w:lang w:eastAsia="pt-BR"/>
        </w:rPr>
        <w:t xml:space="preserve"> upside and widen risk </w:t>
      </w:r>
      <w:r w:rsidRPr="00036E9C">
        <w:rPr>
          <w:lang w:eastAsia="pt-BR"/>
        </w:rPr>
        <w:t>exposure. According to the Efficient Market Hypothesis, an investor, on average, can do no better than purchasing an S&amp;P 500 ETF for a long-time horizon, and should maintain an investment prescription in kind</w:t>
      </w:r>
      <w:r w:rsidR="00D97E4A">
        <w:rPr>
          <w:lang w:eastAsia="pt-BR"/>
        </w:rPr>
        <w:t xml:space="preserve"> [</w:t>
      </w:r>
      <w:r w:rsidR="00620132">
        <w:rPr>
          <w:lang w:eastAsia="pt-BR"/>
        </w:rPr>
        <w:t>3</w:t>
      </w:r>
      <w:r w:rsidR="00D97E4A">
        <w:rPr>
          <w:lang w:eastAsia="pt-BR"/>
        </w:rPr>
        <w:t>]</w:t>
      </w:r>
      <w:r w:rsidRPr="00036E9C">
        <w:rPr>
          <w:lang w:eastAsia="pt-BR"/>
        </w:rPr>
        <w:t>.</w:t>
      </w:r>
    </w:p>
    <w:p w14:paraId="7A5CB6B8" w14:textId="1B834F56" w:rsidR="00D97E4A" w:rsidRDefault="00D97E4A" w:rsidP="00036E9C">
      <w:pPr>
        <w:pStyle w:val="Text"/>
        <w:ind w:firstLine="0"/>
        <w:rPr>
          <w:lang w:eastAsia="pt-BR"/>
        </w:rPr>
      </w:pPr>
      <w:r>
        <w:rPr>
          <w:lang w:eastAsia="pt-BR"/>
        </w:rPr>
        <w:tab/>
      </w:r>
      <w:r w:rsidRPr="00D97E4A">
        <w:rPr>
          <w:lang w:eastAsia="pt-BR"/>
        </w:rPr>
        <w:t>This paper addresses a specific question: can these publicly disclosed quarterly financial statements</w:t>
      </w:r>
      <w:r w:rsidR="00F17804">
        <w:rPr>
          <w:lang w:eastAsia="pt-BR"/>
        </w:rPr>
        <w:t>, in conjunction with macro level indicators, accurately</w:t>
      </w:r>
      <w:r w:rsidRPr="00D97E4A">
        <w:rPr>
          <w:lang w:eastAsia="pt-BR"/>
        </w:rPr>
        <w:t xml:space="preserve"> predict, one quarter in advance, whether a given S&amp;P 500 company's stock return will exceed that of the index itself? A positive answer would have direct implications for active portfolio management and would challenge the semi-strong form of the Efficient Market Hypothesis (EMH), which asserts that all publicly available information is already reflected in current prices</w:t>
      </w:r>
      <w:r>
        <w:rPr>
          <w:lang w:eastAsia="pt-BR"/>
        </w:rPr>
        <w:t xml:space="preserve"> [</w:t>
      </w:r>
      <w:r w:rsidR="00F17804">
        <w:rPr>
          <w:lang w:eastAsia="pt-BR"/>
        </w:rPr>
        <w:t>4</w:t>
      </w:r>
      <w:r>
        <w:rPr>
          <w:lang w:eastAsia="pt-BR"/>
        </w:rPr>
        <w:t>]</w:t>
      </w:r>
      <w:r w:rsidRPr="00D97E4A">
        <w:rPr>
          <w:lang w:eastAsia="pt-BR"/>
        </w:rPr>
        <w:t xml:space="preserve">. </w:t>
      </w:r>
      <w:r w:rsidR="00F17804">
        <w:rPr>
          <w:lang w:eastAsia="pt-BR"/>
        </w:rPr>
        <w:t>A positive response</w:t>
      </w:r>
      <w:r w:rsidRPr="00D97E4A">
        <w:rPr>
          <w:lang w:eastAsia="pt-BR"/>
        </w:rPr>
        <w:t xml:space="preserve"> would </w:t>
      </w:r>
      <w:r w:rsidR="00F17804">
        <w:rPr>
          <w:lang w:eastAsia="pt-BR"/>
        </w:rPr>
        <w:t xml:space="preserve">also </w:t>
      </w:r>
      <w:r w:rsidRPr="00D97E4A">
        <w:rPr>
          <w:lang w:eastAsia="pt-BR"/>
        </w:rPr>
        <w:t>provide investors with a repeatable mechanism to determine what equities to buy, sell</w:t>
      </w:r>
      <w:r w:rsidR="00F17804">
        <w:rPr>
          <w:lang w:eastAsia="pt-BR"/>
        </w:rPr>
        <w:t>,</w:t>
      </w:r>
      <w:r w:rsidRPr="00D97E4A">
        <w:rPr>
          <w:lang w:eastAsia="pt-BR"/>
        </w:rPr>
        <w:t xml:space="preserve"> and hold, at quarter end, to increase returns and mitigate</w:t>
      </w:r>
      <w:r w:rsidR="00F17804">
        <w:rPr>
          <w:lang w:eastAsia="pt-BR"/>
        </w:rPr>
        <w:t>.</w:t>
      </w:r>
    </w:p>
    <w:p w14:paraId="02F8067C" w14:textId="064D9A02" w:rsidR="00D97E4A" w:rsidRPr="00D97E4A" w:rsidRDefault="00D97E4A" w:rsidP="00D97E4A">
      <w:pPr>
        <w:pStyle w:val="Text"/>
        <w:ind w:firstLine="0"/>
        <w:rPr>
          <w:lang w:eastAsia="pt-BR"/>
        </w:rPr>
      </w:pPr>
      <w:r>
        <w:rPr>
          <w:lang w:eastAsia="pt-BR"/>
        </w:rPr>
        <w:tab/>
      </w:r>
      <w:r w:rsidRPr="00D97E4A">
        <w:rPr>
          <w:lang w:eastAsia="pt-BR"/>
        </w:rPr>
        <w:t xml:space="preserve">This study is structured around </w:t>
      </w:r>
      <w:r w:rsidR="00F17804">
        <w:rPr>
          <w:lang w:eastAsia="pt-BR"/>
        </w:rPr>
        <w:t xml:space="preserve">four </w:t>
      </w:r>
      <w:r w:rsidRPr="00D97E4A">
        <w:rPr>
          <w:lang w:eastAsia="pt-BR"/>
        </w:rPr>
        <w:t xml:space="preserve">primary research questions: (Q1) Can logistic regression be applied to quarterly financial ratios to statistically discriminate outperformers from underperformers? (Q2) Does </w:t>
      </w:r>
      <w:r w:rsidR="006B2E01">
        <w:rPr>
          <w:lang w:eastAsia="pt-BR"/>
        </w:rPr>
        <w:t xml:space="preserve">equity </w:t>
      </w:r>
      <w:r w:rsidRPr="00D97E4A">
        <w:rPr>
          <w:lang w:eastAsia="pt-BR"/>
        </w:rPr>
        <w:t>segmentation affect model accuracy</w:t>
      </w:r>
      <w:r w:rsidR="00F17804">
        <w:rPr>
          <w:lang w:eastAsia="pt-BR"/>
        </w:rPr>
        <w:t xml:space="preserve"> when</w:t>
      </w:r>
      <w:r w:rsidRPr="00D97E4A">
        <w:rPr>
          <w:lang w:eastAsia="pt-BR"/>
        </w:rPr>
        <w:t xml:space="preserve"> compared to a total index model? (Q3) </w:t>
      </w:r>
      <w:r w:rsidR="00F17804">
        <w:rPr>
          <w:lang w:eastAsia="pt-BR"/>
        </w:rPr>
        <w:t xml:space="preserve">Can other procedures such as Gradient Boosting be used to further enhance performance? (Q4) </w:t>
      </w:r>
      <w:r w:rsidRPr="00D97E4A">
        <w:rPr>
          <w:lang w:eastAsia="pt-BR"/>
        </w:rPr>
        <w:t xml:space="preserve">Can model-predicted outperformers be used to construct a portfolio that </w:t>
      </w:r>
      <w:r>
        <w:rPr>
          <w:lang w:eastAsia="pt-BR"/>
        </w:rPr>
        <w:t xml:space="preserve">consistently </w:t>
      </w:r>
      <w:r w:rsidRPr="00D97E4A">
        <w:rPr>
          <w:lang w:eastAsia="pt-BR"/>
        </w:rPr>
        <w:t xml:space="preserve">beats </w:t>
      </w:r>
      <w:r>
        <w:rPr>
          <w:lang w:eastAsia="pt-BR"/>
        </w:rPr>
        <w:t>an</w:t>
      </w:r>
      <w:r w:rsidRPr="00D97E4A">
        <w:rPr>
          <w:lang w:eastAsia="pt-BR"/>
        </w:rPr>
        <w:t xml:space="preserve"> S&amp;P 500 </w:t>
      </w:r>
      <w:r>
        <w:rPr>
          <w:lang w:eastAsia="pt-BR"/>
        </w:rPr>
        <w:t xml:space="preserve">Index </w:t>
      </w:r>
      <w:r w:rsidRPr="00D97E4A">
        <w:rPr>
          <w:lang w:eastAsia="pt-BR"/>
        </w:rPr>
        <w:t>on a quarterly basis? Note that any company whose next-quarter performance was better than the S</w:t>
      </w:r>
      <w:r>
        <w:rPr>
          <w:lang w:eastAsia="pt-BR"/>
        </w:rPr>
        <w:t>&amp;</w:t>
      </w:r>
      <w:r w:rsidRPr="00D97E4A">
        <w:rPr>
          <w:lang w:eastAsia="pt-BR"/>
        </w:rPr>
        <w:t>P</w:t>
      </w:r>
      <w:r>
        <w:rPr>
          <w:lang w:eastAsia="pt-BR"/>
        </w:rPr>
        <w:t xml:space="preserve"> </w:t>
      </w:r>
      <w:r w:rsidRPr="00D97E4A">
        <w:rPr>
          <w:lang w:eastAsia="pt-BR"/>
        </w:rPr>
        <w:t>500’s total return is labelled an ‘Outperformer’</w:t>
      </w:r>
      <w:r w:rsidR="00F17804">
        <w:rPr>
          <w:lang w:eastAsia="pt-BR"/>
        </w:rPr>
        <w:t xml:space="preserve"> and as an</w:t>
      </w:r>
      <w:r w:rsidRPr="00D97E4A">
        <w:rPr>
          <w:lang w:eastAsia="pt-BR"/>
        </w:rPr>
        <w:t xml:space="preserve"> ‘Underperformer’ otherwise.  </w:t>
      </w:r>
    </w:p>
    <w:p w14:paraId="66EF4D30" w14:textId="5118AE39" w:rsidR="00D97E4A" w:rsidRDefault="00D97E4A" w:rsidP="006B2E01">
      <w:pPr>
        <w:pStyle w:val="Text"/>
      </w:pPr>
      <w:r w:rsidRPr="00D97E4A">
        <w:t>We benchmark against Ananthakumar and Sarkar (2017) [</w:t>
      </w:r>
      <w:r w:rsidR="00F17804">
        <w:t>5</w:t>
      </w:r>
      <w:r w:rsidRPr="00D97E4A">
        <w:t>], who reported 71.2% accuracy while studying the Bombay Stock Exchange (BSE) constituents using a similar logistic regression framework with VIF-based variable selection. Their threshold of 2.5 for VIF filtering and many of the variables under scrutiny are adopted in this study.</w:t>
      </w:r>
      <w:r w:rsidR="00F17804">
        <w:t xml:space="preserve"> </w:t>
      </w:r>
    </w:p>
    <w:p w14:paraId="0E79C724" w14:textId="03952F99" w:rsidR="006B2E01" w:rsidRDefault="006B2E01" w:rsidP="001B01E3">
      <w:pPr>
        <w:pStyle w:val="SectionHeading"/>
      </w:pPr>
      <w:r>
        <w:t>Related Work</w:t>
      </w:r>
    </w:p>
    <w:p w14:paraId="16D3BFD8" w14:textId="41DA3A52" w:rsidR="002F7A3F" w:rsidRDefault="006B2E01" w:rsidP="002F7A3F">
      <w:pPr>
        <w:pStyle w:val="Text"/>
        <w:ind w:firstLine="0"/>
        <w:jc w:val="left"/>
      </w:pPr>
      <w:r>
        <w:t>Quantitative stock selection has been studied extensively since Fama and French (1992) [</w:t>
      </w:r>
      <w:r w:rsidR="00F17804">
        <w:t>6</w:t>
      </w:r>
      <w:r>
        <w:t xml:space="preserve">], who </w:t>
      </w:r>
      <w:r w:rsidR="002F7A3F">
        <w:t>reported</w:t>
      </w:r>
      <w:r>
        <w:t xml:space="preserve"> that book-to-market </w:t>
      </w:r>
      <w:r w:rsidR="002F7A3F">
        <w:t>and</w:t>
      </w:r>
      <w:r>
        <w:t xml:space="preserve"> size factors </w:t>
      </w:r>
      <w:r w:rsidR="002F7A3F">
        <w:t xml:space="preserve">can </w:t>
      </w:r>
      <w:r>
        <w:t>explain cross-sectional variation in equity returns beyond the Capital Asset Pricing Model. Piotroski (2000) [</w:t>
      </w:r>
      <w:r w:rsidR="00F17804">
        <w:t>7</w:t>
      </w:r>
      <w:r>
        <w:t>] demonstrated that a simple nine-variable accounting-based score could separate high- from low-return value stocks with high accuracy.</w:t>
      </w:r>
    </w:p>
    <w:p w14:paraId="3319FA39" w14:textId="62E030E7" w:rsidR="006B2E01" w:rsidRDefault="006B2E01" w:rsidP="002F7A3F">
      <w:pPr>
        <w:pStyle w:val="Text"/>
        <w:jc w:val="left"/>
      </w:pPr>
      <w:r>
        <w:t>More directly relevant to this work, Ananthakumar and Sarkar (2017) [</w:t>
      </w:r>
      <w:r w:rsidR="00F17804">
        <w:t>5</w:t>
      </w:r>
      <w:r>
        <w:t xml:space="preserve">] applied logistic regression with VIF </w:t>
      </w:r>
      <w:r>
        <w:lastRenderedPageBreak/>
        <w:t xml:space="preserve">variable selection (threshold 2.5) to </w:t>
      </w:r>
      <w:r w:rsidR="002F7A3F">
        <w:t>annual data</w:t>
      </w:r>
      <w:r>
        <w:t xml:space="preserve"> for </w:t>
      </w:r>
      <w:r w:rsidR="002F7A3F">
        <w:t xml:space="preserve">Bombay Stock Exchange (BSE) </w:t>
      </w:r>
      <w:r>
        <w:t>constituents, achieving 71.2% prediction accuracy. Their framework serves as the methodological and performance benchmark for this study.</w:t>
      </w:r>
      <w:r w:rsidR="00F17804">
        <w:t xml:space="preserve"> </w:t>
      </w:r>
      <w:r w:rsidR="005D68F3">
        <w:t>T</w:t>
      </w:r>
      <w:r w:rsidR="00F17804">
        <w:t xml:space="preserve">he analysis applied herein </w:t>
      </w:r>
      <w:r w:rsidR="005D68F3">
        <w:t xml:space="preserve">seeks to generate quarterly based American Exchange alpha, </w:t>
      </w:r>
      <w:r w:rsidR="00F17804">
        <w:t>while Ananthakumar looks strictly at in-sample annual categorization</w:t>
      </w:r>
      <w:r w:rsidR="005D68F3">
        <w:t xml:space="preserve"> of the BSE</w:t>
      </w:r>
      <w:r w:rsidR="00F17804">
        <w:t>.</w:t>
      </w:r>
    </w:p>
    <w:p w14:paraId="0EB93155" w14:textId="2E65BFC9" w:rsidR="002F7A3F" w:rsidRDefault="006B2E01" w:rsidP="002F7A3F">
      <w:pPr>
        <w:pStyle w:val="Text"/>
      </w:pPr>
      <w:r>
        <w:t>Krauss, Do, and Huck (2017) [</w:t>
      </w:r>
      <w:r w:rsidR="00F17804">
        <w:t>8</w:t>
      </w:r>
      <w:r>
        <w:t xml:space="preserve">] demonstrated that Gradient Boosting </w:t>
      </w:r>
      <w:r w:rsidR="00434BF5">
        <w:t xml:space="preserve">can </w:t>
      </w:r>
      <w:r>
        <w:t>substantially outperform linear models for S&amp;P 500 return prediction</w:t>
      </w:r>
      <w:r w:rsidR="002F7A3F">
        <w:t>. This</w:t>
      </w:r>
      <w:r>
        <w:t xml:space="preserve"> motivat</w:t>
      </w:r>
      <w:r w:rsidR="002F7A3F">
        <w:t>es</w:t>
      </w:r>
      <w:r>
        <w:t xml:space="preserve"> our use of Gradient Boosting as a diagnostic non-linear benchmark alongside the primary logistic regression model.</w:t>
      </w:r>
      <w:r w:rsidR="002F7A3F">
        <w:t xml:space="preserve"> </w:t>
      </w:r>
    </w:p>
    <w:p w14:paraId="28729FAE" w14:textId="49B9F3DF" w:rsidR="002F7A3F" w:rsidRDefault="001B01E3" w:rsidP="001B01E3">
      <w:pPr>
        <w:pStyle w:val="SectionHeading"/>
      </w:pPr>
      <w:r>
        <w:t>V</w:t>
      </w:r>
      <w:r w:rsidR="002F7A3F">
        <w:t>ariable Creation and Identification</w:t>
      </w:r>
    </w:p>
    <w:p w14:paraId="38B0151A" w14:textId="6EE49A4B" w:rsidR="001B01E3" w:rsidRPr="001B01E3" w:rsidRDefault="002F7A3F" w:rsidP="001B01E3">
      <w:pPr>
        <w:pStyle w:val="ListParagraph"/>
        <w:numPr>
          <w:ilvl w:val="0"/>
          <w:numId w:val="21"/>
        </w:numPr>
        <w:spacing w:before="120" w:after="120"/>
        <w:ind w:left="1080" w:hanging="1080"/>
        <w:rPr>
          <w:i/>
          <w:iCs/>
        </w:rPr>
      </w:pPr>
      <w:r w:rsidRPr="001B01E3">
        <w:rPr>
          <w:i/>
          <w:iCs/>
        </w:rPr>
        <w:t>Dependent Variable</w:t>
      </w:r>
    </w:p>
    <w:p w14:paraId="040A09FE" w14:textId="5722CF97" w:rsidR="001B01E3" w:rsidRDefault="002F7A3F" w:rsidP="002F7A3F">
      <w:r w:rsidRPr="002F7A3F">
        <w:t xml:space="preserve">The binary outcome variable, outperformer_next, is defined as ‘1’ if the total return of stock </w:t>
      </w:r>
      <w:r>
        <w:rPr>
          <w:i/>
          <w:iCs/>
        </w:rPr>
        <w:t>i</w:t>
      </w:r>
      <w:r w:rsidRPr="002F7A3F">
        <w:t xml:space="preserve"> in quarter t+1 exceeds the S&amp;P 500 index return over the same period, and ‘0’ otherwise. In this way, we utilize information available at the current time step to predict performance at the next time step. Note that equity quarter over quarter percentage performance is the benchmark for this measurement, and is directly measured against the S&amp;P 500 quarter over quarter performance for the same </w:t>
      </w:r>
      <w:r>
        <w:t>period</w:t>
      </w:r>
      <w:r w:rsidRPr="002F7A3F">
        <w:t>. If, for example, a company saw a 1% increase in its stock price from the end of Q1-2022  to the end of Q2-2022, and the S&amp;P 500 returned 0.75%, this company, for Q1-2022, would be deemed an outperformer.</w:t>
      </w:r>
    </w:p>
    <w:p w14:paraId="581C0AC5" w14:textId="2F506E84" w:rsidR="002F7A3F" w:rsidRPr="001B01E3" w:rsidRDefault="001B01E3" w:rsidP="002F7A3F">
      <w:pPr>
        <w:pStyle w:val="ListParagraph"/>
        <w:numPr>
          <w:ilvl w:val="0"/>
          <w:numId w:val="21"/>
        </w:numPr>
        <w:spacing w:before="120" w:after="120"/>
        <w:ind w:left="1080" w:hanging="1080"/>
        <w:rPr>
          <w:i/>
          <w:iCs/>
        </w:rPr>
      </w:pPr>
      <w:r>
        <w:rPr>
          <w:i/>
          <w:iCs/>
        </w:rPr>
        <w:t>Independent Variables</w:t>
      </w:r>
    </w:p>
    <w:p w14:paraId="06ED364C" w14:textId="6C40ED97" w:rsidR="00841B19" w:rsidRPr="001B01E3" w:rsidRDefault="001B01E3" w:rsidP="001B01E3">
      <w:pPr>
        <w:pStyle w:val="Text"/>
        <w:ind w:firstLine="0"/>
        <w:rPr>
          <w:b/>
        </w:rPr>
      </w:pPr>
      <w:r w:rsidRPr="001B01E3">
        <w:t xml:space="preserve">Twenty-four features are engineered from </w:t>
      </w:r>
      <w:r w:rsidR="008A64E3">
        <w:t xml:space="preserve">the </w:t>
      </w:r>
      <w:r w:rsidRPr="001B01E3">
        <w:t>raw Compustat fields</w:t>
      </w:r>
      <w:r w:rsidR="008A64E3">
        <w:t xml:space="preserve">, </w:t>
      </w:r>
      <w:r w:rsidRPr="001B01E3">
        <w:t>F</w:t>
      </w:r>
      <w:r w:rsidR="00434BF5">
        <w:t xml:space="preserve">inancial </w:t>
      </w:r>
      <w:r w:rsidRPr="001B01E3">
        <w:t>R</w:t>
      </w:r>
      <w:r w:rsidR="00434BF5">
        <w:t xml:space="preserve">eserve </w:t>
      </w:r>
      <w:r w:rsidRPr="001B01E3">
        <w:t>E</w:t>
      </w:r>
      <w:r w:rsidR="00434BF5">
        <w:t xml:space="preserve">conomic </w:t>
      </w:r>
      <w:r w:rsidRPr="001B01E3">
        <w:t>D</w:t>
      </w:r>
      <w:r w:rsidR="00434BF5">
        <w:t>ata</w:t>
      </w:r>
      <w:r w:rsidRPr="001B01E3">
        <w:t xml:space="preserve"> </w:t>
      </w:r>
      <w:r w:rsidR="00434BF5">
        <w:t xml:space="preserve">(FRED) </w:t>
      </w:r>
      <w:r w:rsidRPr="001B01E3">
        <w:t xml:space="preserve">macro </w:t>
      </w:r>
      <w:r w:rsidR="00434BF5">
        <w:t>observations</w:t>
      </w:r>
      <w:r w:rsidRPr="001B01E3">
        <w:t>, and quarter-over-quarter difference</w:t>
      </w:r>
      <w:r w:rsidR="008A64E3">
        <w:t xml:space="preserve"> calculations</w:t>
      </w:r>
      <w:r w:rsidR="00434BF5">
        <w:t xml:space="preserve"> from both sources</w:t>
      </w:r>
      <w:r w:rsidRPr="001B01E3">
        <w:t xml:space="preserve">. Data capture is further expanded upon </w:t>
      </w:r>
      <w:r w:rsidR="00434BF5">
        <w:t>in the Data Description section</w:t>
      </w:r>
      <w:r w:rsidRPr="001B01E3">
        <w:t xml:space="preserve">.  The data captured </w:t>
      </w:r>
      <w:r w:rsidR="0035709B" w:rsidRPr="001B01E3">
        <w:t>covers</w:t>
      </w:r>
      <w:r w:rsidRPr="001B01E3">
        <w:t xml:space="preserve"> six main economic categories:</w:t>
      </w:r>
    </w:p>
    <w:p w14:paraId="630B0412" w14:textId="77777777" w:rsidR="001B01E3" w:rsidRDefault="001B01E3" w:rsidP="008F5F8B">
      <w:pPr>
        <w:pStyle w:val="Bullets"/>
        <w:ind w:left="0" w:firstLine="360"/>
      </w:pPr>
      <w:r w:rsidRPr="001B01E3">
        <w:rPr>
          <w:b/>
          <w:bCs/>
        </w:rPr>
        <w:t>Profitability</w:t>
      </w:r>
      <w:r>
        <w:t xml:space="preserve">: Return On Assets, Return On </w:t>
      </w:r>
    </w:p>
    <w:p w14:paraId="38A81223" w14:textId="3F337480" w:rsidR="001B01E3" w:rsidRDefault="001B01E3" w:rsidP="008F5F8B">
      <w:pPr>
        <w:pStyle w:val="Bullets"/>
        <w:numPr>
          <w:ilvl w:val="0"/>
          <w:numId w:val="0"/>
        </w:numPr>
        <w:ind w:left="360" w:hanging="360"/>
      </w:pPr>
      <w:r>
        <w:t xml:space="preserve">Equity, Gross Margin, Operating Margin, Net </w:t>
      </w:r>
      <w:r w:rsidR="00593FF4">
        <w:t xml:space="preserve">Profit </w:t>
      </w:r>
      <w:r>
        <w:t xml:space="preserve">Margin                 </w:t>
      </w:r>
    </w:p>
    <w:p w14:paraId="3E9C7ECD" w14:textId="647CA78F" w:rsidR="00841B19" w:rsidRPr="00715BE8" w:rsidRDefault="001B01E3" w:rsidP="008F5F8B">
      <w:pPr>
        <w:pStyle w:val="Bullets"/>
        <w:ind w:left="0" w:firstLine="360"/>
      </w:pPr>
      <w:r w:rsidRPr="001B01E3">
        <w:rPr>
          <w:b/>
          <w:bCs/>
          <w:lang w:val="en-US"/>
        </w:rPr>
        <w:t xml:space="preserve">Efficiency: </w:t>
      </w:r>
      <w:r w:rsidRPr="001B01E3">
        <w:rPr>
          <w:lang w:val="en-US"/>
        </w:rPr>
        <w:t>Asset Turnover</w:t>
      </w:r>
      <w:r w:rsidR="00841B19" w:rsidRPr="00715BE8">
        <w:t xml:space="preserve"> </w:t>
      </w:r>
    </w:p>
    <w:p w14:paraId="23E5991A" w14:textId="6889E099" w:rsidR="00841B19" w:rsidRDefault="001B01E3" w:rsidP="008F5F8B">
      <w:pPr>
        <w:pStyle w:val="Bullets"/>
        <w:ind w:left="0" w:firstLine="360"/>
      </w:pPr>
      <w:r w:rsidRPr="001B01E3">
        <w:rPr>
          <w:b/>
          <w:bCs/>
        </w:rPr>
        <w:t>Liquidity</w:t>
      </w:r>
      <w:r w:rsidRPr="001B01E3">
        <w:t>: Current</w:t>
      </w:r>
      <w:r>
        <w:t xml:space="preserve"> Ratio</w:t>
      </w:r>
      <w:r w:rsidR="00841B19" w:rsidRPr="00715BE8">
        <w:t xml:space="preserve"> </w:t>
      </w:r>
    </w:p>
    <w:p w14:paraId="497D1B69" w14:textId="1F4B0767" w:rsidR="001B01E3" w:rsidRDefault="001B01E3" w:rsidP="008F5F8B">
      <w:pPr>
        <w:pStyle w:val="Bullets"/>
        <w:ind w:left="0" w:firstLine="360"/>
      </w:pPr>
      <w:r>
        <w:rPr>
          <w:b/>
          <w:bCs/>
        </w:rPr>
        <w:t xml:space="preserve">Leverage: </w:t>
      </w:r>
      <w:r>
        <w:t>Debt-to-Equity</w:t>
      </w:r>
    </w:p>
    <w:p w14:paraId="50955B37" w14:textId="45800ADD" w:rsidR="001B01E3" w:rsidRDefault="001B01E3" w:rsidP="008F5F8B">
      <w:pPr>
        <w:pStyle w:val="Bullets"/>
        <w:ind w:left="0" w:firstLine="360"/>
      </w:pPr>
      <w:r>
        <w:rPr>
          <w:b/>
          <w:bCs/>
        </w:rPr>
        <w:t>Growth:</w:t>
      </w:r>
      <w:r>
        <w:t xml:space="preserve"> Revenue Growth</w:t>
      </w:r>
      <w:r w:rsidR="00593FF4">
        <w:t>,</w:t>
      </w:r>
      <w:r>
        <w:t xml:space="preserve"> Net Income </w:t>
      </w:r>
    </w:p>
    <w:p w14:paraId="159CA49C" w14:textId="2CCFC13B" w:rsidR="008F5F8B" w:rsidRDefault="008F5F8B" w:rsidP="008F5F8B">
      <w:pPr>
        <w:pStyle w:val="Bullets"/>
        <w:ind w:left="0" w:firstLine="360"/>
      </w:pPr>
      <w:r>
        <w:rPr>
          <w:b/>
          <w:bCs/>
        </w:rPr>
        <w:t>Valuation:</w:t>
      </w:r>
      <w:r>
        <w:t xml:space="preserve"> Price-to-Earnings Ratio (P/E</w:t>
      </w:r>
      <w:r w:rsidR="00593FF4">
        <w:t xml:space="preserve"> Ratio</w:t>
      </w:r>
      <w:r>
        <w:t>), Book-to-Market Ratio</w:t>
      </w:r>
    </w:p>
    <w:p w14:paraId="14B330E4" w14:textId="6C4C686F" w:rsidR="00841B19" w:rsidRDefault="008F5F8B" w:rsidP="008F5F8B">
      <w:pPr>
        <w:pStyle w:val="Bullets"/>
        <w:ind w:left="0" w:firstLine="360"/>
      </w:pPr>
      <w:r>
        <w:rPr>
          <w:b/>
          <w:bCs/>
        </w:rPr>
        <w:t>Macro Level:</w:t>
      </w:r>
      <w:r>
        <w:t xml:space="preserve"> Gross Domestic Product (</w:t>
      </w:r>
      <w:r>
        <w:rPr>
          <w:b/>
          <w:bCs/>
        </w:rPr>
        <w:t xml:space="preserve">GDP) </w:t>
      </w:r>
      <w:r>
        <w:t xml:space="preserve">Growth, Consumer Price Index (CPI) Growth </w:t>
      </w:r>
    </w:p>
    <w:p w14:paraId="6163897C" w14:textId="0962A8F3" w:rsidR="008F5F8B" w:rsidRDefault="008F5F8B" w:rsidP="008F5F8B">
      <w:pPr>
        <w:pStyle w:val="Bullets"/>
        <w:ind w:left="0" w:firstLine="360"/>
      </w:pPr>
      <w:r>
        <w:rPr>
          <w:b/>
          <w:bCs/>
        </w:rPr>
        <w:t xml:space="preserve">Momentum: </w:t>
      </w:r>
      <w:r>
        <w:t xml:space="preserve">QoQ change for </w:t>
      </w:r>
      <w:r w:rsidR="00593FF4">
        <w:t>all</w:t>
      </w:r>
      <w:r>
        <w:t xml:space="preserve"> ratio based features</w:t>
      </w:r>
    </w:p>
    <w:p w14:paraId="35041C4A" w14:textId="77777777" w:rsidR="008F5F8B" w:rsidRPr="00715BE8" w:rsidRDefault="008F5F8B" w:rsidP="008F5F8B">
      <w:pPr>
        <w:pStyle w:val="Bullets"/>
        <w:numPr>
          <w:ilvl w:val="0"/>
          <w:numId w:val="0"/>
        </w:numPr>
        <w:ind w:left="360"/>
      </w:pPr>
    </w:p>
    <w:p w14:paraId="297F59FD" w14:textId="4568AF93" w:rsidR="008F5F8B" w:rsidRDefault="008F5F8B" w:rsidP="008F5F8B">
      <w:pPr>
        <w:pStyle w:val="BodyText"/>
        <w:rPr>
          <w:lang w:val="en-US"/>
        </w:rPr>
      </w:pPr>
      <w:r>
        <w:t>T</w:t>
      </w:r>
      <w:r w:rsidRPr="008F5F8B">
        <w:rPr>
          <w:lang w:val="en-US"/>
        </w:rPr>
        <w:t xml:space="preserve">hese ratios </w:t>
      </w:r>
      <w:r w:rsidR="008A64E3">
        <w:rPr>
          <w:lang w:val="en-US"/>
        </w:rPr>
        <w:t>are</w:t>
      </w:r>
      <w:r w:rsidRPr="008F5F8B">
        <w:rPr>
          <w:lang w:val="en-US"/>
        </w:rPr>
        <w:t xml:space="preserve"> calculated from raw, end-of-quarter financial information. The conventional quarterly </w:t>
      </w:r>
      <w:r>
        <w:rPr>
          <w:lang w:val="en-US"/>
        </w:rPr>
        <w:t xml:space="preserve">calendar </w:t>
      </w:r>
      <w:r w:rsidRPr="008F5F8B">
        <w:rPr>
          <w:lang w:val="en-US"/>
        </w:rPr>
        <w:t xml:space="preserve">cycle </w:t>
      </w:r>
      <w:r w:rsidR="008A64E3">
        <w:rPr>
          <w:lang w:val="en-US"/>
        </w:rPr>
        <w:t>is</w:t>
      </w:r>
      <w:r w:rsidRPr="008F5F8B">
        <w:rPr>
          <w:lang w:val="en-US"/>
        </w:rPr>
        <w:t xml:space="preserve"> used in this analysis and appropriately synchronize</w:t>
      </w:r>
      <w:r w:rsidR="008A64E3">
        <w:rPr>
          <w:lang w:val="en-US"/>
        </w:rPr>
        <w:t>s</w:t>
      </w:r>
      <w:r w:rsidRPr="008F5F8B">
        <w:rPr>
          <w:lang w:val="en-US"/>
        </w:rPr>
        <w:t xml:space="preserve"> against fiscal reporting cycles. As company reports do not strictly follow the standard calendar quarter</w:t>
      </w:r>
      <w:r w:rsidR="008A64E3">
        <w:rPr>
          <w:lang w:val="en-US"/>
        </w:rPr>
        <w:t>s</w:t>
      </w:r>
      <w:r w:rsidRPr="008F5F8B">
        <w:rPr>
          <w:lang w:val="en-US"/>
        </w:rPr>
        <w:t xml:space="preserve">, </w:t>
      </w:r>
      <w:r w:rsidR="00593FF4">
        <w:rPr>
          <w:lang w:val="en-US"/>
        </w:rPr>
        <w:t xml:space="preserve">this adjustment </w:t>
      </w:r>
      <w:r w:rsidR="008A64E3">
        <w:rPr>
          <w:lang w:val="en-US"/>
        </w:rPr>
        <w:t>is</w:t>
      </w:r>
      <w:r w:rsidR="00593FF4">
        <w:rPr>
          <w:lang w:val="en-US"/>
        </w:rPr>
        <w:t xml:space="preserve"> necessary for data quality</w:t>
      </w:r>
      <w:r w:rsidR="008A64E3">
        <w:rPr>
          <w:lang w:val="en-US"/>
        </w:rPr>
        <w:t xml:space="preserve"> assurance</w:t>
      </w:r>
      <w:r>
        <w:rPr>
          <w:lang w:val="en-US"/>
        </w:rPr>
        <w:t xml:space="preserve">. The below schema </w:t>
      </w:r>
      <w:r w:rsidR="008A64E3">
        <w:rPr>
          <w:lang w:val="en-US"/>
        </w:rPr>
        <w:t>is</w:t>
      </w:r>
      <w:r>
        <w:rPr>
          <w:lang w:val="en-US"/>
        </w:rPr>
        <w:t xml:space="preserve"> applied to </w:t>
      </w:r>
      <w:r w:rsidR="008A64E3">
        <w:rPr>
          <w:lang w:val="en-US"/>
        </w:rPr>
        <w:t>assign</w:t>
      </w:r>
      <w:r>
        <w:rPr>
          <w:lang w:val="en-US"/>
        </w:rPr>
        <w:t xml:space="preserve"> any report </w:t>
      </w:r>
      <w:r w:rsidR="008A64E3">
        <w:rPr>
          <w:lang w:val="en-US"/>
        </w:rPr>
        <w:t xml:space="preserve">released </w:t>
      </w:r>
      <w:r>
        <w:rPr>
          <w:lang w:val="en-US"/>
        </w:rPr>
        <w:t xml:space="preserve">within the boundary to the appropriate </w:t>
      </w:r>
      <w:r w:rsidR="00593FF4">
        <w:rPr>
          <w:lang w:val="en-US"/>
        </w:rPr>
        <w:t xml:space="preserve">calendar </w:t>
      </w:r>
      <w:r>
        <w:rPr>
          <w:lang w:val="en-US"/>
        </w:rPr>
        <w:t>quarter</w:t>
      </w:r>
      <w:r w:rsidRPr="008F5F8B">
        <w:rPr>
          <w:lang w:val="en-US"/>
        </w:rPr>
        <w:t>:</w:t>
      </w:r>
    </w:p>
    <w:p w14:paraId="4BF8E732" w14:textId="77777777" w:rsidR="008F5F8B" w:rsidRPr="008F5F8B" w:rsidRDefault="008F5F8B" w:rsidP="008F5F8B">
      <w:pPr>
        <w:pStyle w:val="BodyText"/>
        <w:numPr>
          <w:ilvl w:val="0"/>
          <w:numId w:val="22"/>
        </w:numPr>
      </w:pPr>
      <w:r w:rsidRPr="008F5F8B">
        <w:rPr>
          <w:b/>
          <w:bCs/>
        </w:rPr>
        <w:t>Q1</w:t>
      </w:r>
      <w:r w:rsidRPr="008F5F8B">
        <w:t>: Jan 1st-March 31st</w:t>
      </w:r>
    </w:p>
    <w:p w14:paraId="26CA482D" w14:textId="77777777" w:rsidR="008F5F8B" w:rsidRPr="008F5F8B" w:rsidRDefault="008F5F8B" w:rsidP="008F5F8B">
      <w:pPr>
        <w:pStyle w:val="BodyText"/>
        <w:numPr>
          <w:ilvl w:val="0"/>
          <w:numId w:val="22"/>
        </w:numPr>
      </w:pPr>
      <w:r w:rsidRPr="008F5F8B">
        <w:rPr>
          <w:b/>
          <w:bCs/>
        </w:rPr>
        <w:t>Q2</w:t>
      </w:r>
      <w:r w:rsidRPr="008F5F8B">
        <w:t>: April 1st to June 30th</w:t>
      </w:r>
    </w:p>
    <w:p w14:paraId="393FA61D" w14:textId="77777777" w:rsidR="008F5F8B" w:rsidRPr="008F5F8B" w:rsidRDefault="008F5F8B" w:rsidP="008F5F8B">
      <w:pPr>
        <w:pStyle w:val="BodyText"/>
        <w:numPr>
          <w:ilvl w:val="0"/>
          <w:numId w:val="22"/>
        </w:numPr>
      </w:pPr>
      <w:r w:rsidRPr="008F5F8B">
        <w:rPr>
          <w:b/>
          <w:bCs/>
        </w:rPr>
        <w:t>Q3</w:t>
      </w:r>
      <w:r w:rsidRPr="008F5F8B">
        <w:t>: July 1st to September 30th</w:t>
      </w:r>
    </w:p>
    <w:p w14:paraId="59D4701D" w14:textId="77777777" w:rsidR="008F5F8B" w:rsidRDefault="008F5F8B" w:rsidP="008F5F8B">
      <w:pPr>
        <w:pStyle w:val="BodyText"/>
        <w:numPr>
          <w:ilvl w:val="0"/>
          <w:numId w:val="22"/>
        </w:numPr>
      </w:pPr>
      <w:r w:rsidRPr="008F5F8B">
        <w:rPr>
          <w:b/>
          <w:bCs/>
        </w:rPr>
        <w:t>Q4</w:t>
      </w:r>
      <w:r w:rsidRPr="008F5F8B">
        <w:t xml:space="preserve">: October 1st to December 31st </w:t>
      </w:r>
    </w:p>
    <w:p w14:paraId="3D2A9BC1" w14:textId="77777777" w:rsidR="008F5F8B" w:rsidRDefault="008F5F8B" w:rsidP="008F5F8B">
      <w:pPr>
        <w:pStyle w:val="BodyText"/>
        <w:rPr>
          <w:b/>
          <w:bCs/>
        </w:rPr>
      </w:pPr>
    </w:p>
    <w:p w14:paraId="57BFF2CE" w14:textId="12454199" w:rsidR="008F5F8B" w:rsidRPr="008F5F8B" w:rsidRDefault="008F5F8B" w:rsidP="008F5F8B">
      <w:pPr>
        <w:pStyle w:val="BodyText"/>
        <w:ind w:firstLine="0"/>
      </w:pPr>
      <w:r w:rsidRPr="008F5F8B">
        <w:t>This step was vital to ensure that records were being compared against the same time period</w:t>
      </w:r>
      <w:r w:rsidR="00593FF4">
        <w:t>, regardless of the specific company’s time of filing.</w:t>
      </w:r>
    </w:p>
    <w:p w14:paraId="59408051" w14:textId="0076377D" w:rsidR="008F5F8B" w:rsidRPr="008F5F8B" w:rsidRDefault="008F5F8B" w:rsidP="008F5F8B">
      <w:pPr>
        <w:pStyle w:val="SectionHeading"/>
      </w:pPr>
      <w:r>
        <w:t>Methodology</w:t>
      </w:r>
    </w:p>
    <w:p w14:paraId="121EE6D1" w14:textId="47B1A7FE" w:rsidR="00890EE6" w:rsidRPr="00890EE6" w:rsidRDefault="008F5F8B" w:rsidP="00890EE6">
      <w:pPr>
        <w:spacing w:before="120" w:after="120"/>
        <w:rPr>
          <w:i/>
          <w:iCs/>
        </w:rPr>
      </w:pPr>
      <w:r w:rsidRPr="008F5F8B">
        <w:rPr>
          <w:i/>
          <w:iCs/>
        </w:rPr>
        <w:t>I.</w:t>
      </w:r>
      <w:r>
        <w:rPr>
          <w:i/>
          <w:iCs/>
        </w:rPr>
        <w:t xml:space="preserve"> Overview</w:t>
      </w:r>
    </w:p>
    <w:p w14:paraId="6C83D859" w14:textId="2BE303DB" w:rsidR="00890EE6" w:rsidRDefault="00890EE6" w:rsidP="00890EE6">
      <w:pPr>
        <w:spacing w:before="120" w:after="120"/>
        <w:rPr>
          <w:i/>
          <w:iCs/>
        </w:rPr>
      </w:pPr>
      <w:r w:rsidRPr="00890EE6">
        <w:t xml:space="preserve">The analysis pipeline proceeds through </w:t>
      </w:r>
      <w:r w:rsidR="008A64E3">
        <w:t>seven</w:t>
      </w:r>
      <w:r w:rsidRPr="00890EE6">
        <w:t xml:space="preserve"> stages: 1</w:t>
      </w:r>
      <w:r>
        <w:t>-D</w:t>
      </w:r>
      <w:r w:rsidRPr="00890EE6">
        <w:t>ata collection and ratio computation, 2</w:t>
      </w:r>
      <w:r>
        <w:t>-D</w:t>
      </w:r>
      <w:r w:rsidRPr="00890EE6">
        <w:t xml:space="preserve">ata preprocessing and cleaning </w:t>
      </w:r>
      <w:r>
        <w:t>via</w:t>
      </w:r>
      <w:r w:rsidRPr="00890EE6">
        <w:t xml:space="preserve"> winsorization and standardization, 3</w:t>
      </w:r>
      <w:r>
        <w:t>-</w:t>
      </w:r>
      <w:r w:rsidRPr="00890EE6">
        <w:t xml:space="preserve"> </w:t>
      </w:r>
      <w:r>
        <w:t>M</w:t>
      </w:r>
      <w:r w:rsidRPr="00890EE6">
        <w:t>ulticollinearity reduction via iterative VIF filtering, 4</w:t>
      </w:r>
      <w:r w:rsidR="00593FF4">
        <w:t>-</w:t>
      </w:r>
      <w:r>
        <w:t>D</w:t>
      </w:r>
      <w:r w:rsidRPr="00890EE6">
        <w:t xml:space="preserve">imensionality reduction via Principal Component Analysis (PCA), </w:t>
      </w:r>
      <w:r>
        <w:t xml:space="preserve">5-Full model </w:t>
      </w:r>
      <w:r w:rsidRPr="00890EE6">
        <w:t>logistic regression estimation</w:t>
      </w:r>
      <w:r>
        <w:t>, 6- Segmentation</w:t>
      </w:r>
      <w:r w:rsidR="008A64E3">
        <w:t xml:space="preserve"> analysis by sector and market capitalization</w:t>
      </w:r>
      <w:r>
        <w:t>, and 7-P</w:t>
      </w:r>
      <w:r w:rsidRPr="00890EE6">
        <w:t>redicting performance of a portfolio built using the model. Note 5</w:t>
      </w:r>
      <w:r>
        <w:t xml:space="preserve"> and 6</w:t>
      </w:r>
      <w:r w:rsidRPr="00890EE6">
        <w:t xml:space="preserve"> include</w:t>
      </w:r>
      <w:r w:rsidR="008A64E3">
        <w:t>s</w:t>
      </w:r>
      <w:r w:rsidRPr="00890EE6">
        <w:t xml:space="preserve"> </w:t>
      </w:r>
      <w:r>
        <w:t xml:space="preserve">deeper </w:t>
      </w:r>
      <w:r w:rsidRPr="00890EE6">
        <w:t>analysis with regards to individual measure statistical significance, parsimonious model favorability, and probability cutoff value optimization analysis.</w:t>
      </w:r>
      <w:r w:rsidR="00593FF4">
        <w:t xml:space="preserve"> Step 5 also include</w:t>
      </w:r>
      <w:r w:rsidR="008A64E3">
        <w:t>s</w:t>
      </w:r>
      <w:r w:rsidR="00593FF4">
        <w:t xml:space="preserve"> a Gradient Boosted Model for comparison.</w:t>
      </w:r>
      <w:r w:rsidRPr="00890EE6">
        <w:t xml:space="preserve"> </w:t>
      </w:r>
    </w:p>
    <w:p w14:paraId="07B25298" w14:textId="2545B0AD" w:rsidR="00890EE6" w:rsidRPr="00890EE6" w:rsidRDefault="00890EE6" w:rsidP="00890EE6">
      <w:pPr>
        <w:spacing w:before="120" w:after="120"/>
        <w:rPr>
          <w:i/>
          <w:iCs/>
        </w:rPr>
      </w:pPr>
      <w:r>
        <w:rPr>
          <w:i/>
          <w:iCs/>
        </w:rPr>
        <w:t>II. VIF Filtering</w:t>
      </w:r>
    </w:p>
    <w:p w14:paraId="611777B3" w14:textId="088491AF" w:rsidR="00890EE6" w:rsidRDefault="00890EE6" w:rsidP="00841B19">
      <w:pPr>
        <w:pStyle w:val="FirstParagraph"/>
      </w:pPr>
      <w:r w:rsidRPr="00890EE6">
        <w:t xml:space="preserve">Variance Inflation Factor (VIF) quantifies the extent to which a predictor's variance is inflated by its linear relationship with other predictors. For predictor </w:t>
      </w:r>
      <w:r w:rsidRPr="007C51AB">
        <w:rPr>
          <w:i/>
          <w:iCs/>
        </w:rPr>
        <w:t>j</w:t>
      </w:r>
      <w:r w:rsidRPr="00890EE6">
        <w:t>,</w:t>
      </w:r>
      <w:r>
        <w:tab/>
      </w:r>
    </w:p>
    <w:p w14:paraId="2A381572" w14:textId="77777777" w:rsidR="00890EE6" w:rsidRDefault="00890EE6" w:rsidP="00841B19">
      <w:pPr>
        <w:pStyle w:val="FirstParagraph"/>
      </w:pPr>
    </w:p>
    <w:p w14:paraId="1C6D5CA5" w14:textId="31AA852A" w:rsidR="00890EE6" w:rsidRDefault="00DF101C" w:rsidP="00890EE6">
      <w:pPr>
        <w:pStyle w:val="FirstParagraph"/>
        <w:jc w:val="right"/>
      </w:pPr>
      <m:oMath>
        <m:sSub>
          <m:sSubPr>
            <m:ctrlPr>
              <w:rPr>
                <w:rFonts w:ascii="Cambria Math" w:hAnsi="Cambria Math"/>
                <w:i/>
              </w:rPr>
            </m:ctrlPr>
          </m:sSubPr>
          <m:e>
            <m:r>
              <w:rPr>
                <w:rFonts w:ascii="Cambria Math" w:hAnsi="Cambria Math"/>
              </w:rPr>
              <m:t>VIF</m:t>
            </m:r>
          </m:e>
          <m:sub>
            <m:r>
              <w:rPr>
                <w:rFonts w:ascii="Cambria Math" w:hAnsi="Cambria Math"/>
              </w:rPr>
              <m:t>j</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 xml:space="preserve">1- </m:t>
            </m:r>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den>
        </m:f>
      </m:oMath>
      <w:r w:rsidR="00890EE6">
        <w:tab/>
      </w:r>
      <w:r w:rsidR="00890EE6">
        <w:tab/>
      </w:r>
      <w:r w:rsidR="00890EE6">
        <w:tab/>
      </w:r>
      <w:r w:rsidR="00890EE6">
        <w:tab/>
      </w:r>
      <w:r w:rsidR="00890EE6">
        <w:tab/>
      </w:r>
      <w:r w:rsidR="00890EE6">
        <w:tab/>
      </w:r>
      <w:r w:rsidR="00890EE6" w:rsidRPr="00715BE8">
        <w:t>(1)</w:t>
      </w:r>
    </w:p>
    <w:p w14:paraId="5988A282" w14:textId="77777777" w:rsidR="00890EE6" w:rsidRDefault="00890EE6" w:rsidP="00841B19">
      <w:pPr>
        <w:pStyle w:val="FirstParagraph"/>
      </w:pPr>
    </w:p>
    <w:p w14:paraId="37A3A2A8" w14:textId="7AA62E8F" w:rsidR="007C51AB" w:rsidRDefault="007C51AB" w:rsidP="00841B19">
      <w:pPr>
        <w:pStyle w:val="FirstParagraph"/>
      </w:pPr>
      <w:r w:rsidRPr="007C51AB">
        <w:t>where is</w:t>
      </w:r>
      <m:oMath>
        <m:r>
          <w:rPr>
            <w:rFonts w:ascii="Cambria Math" w:hAnsi="Cambria Math"/>
          </w:rPr>
          <m:t xml:space="preserve"> </m:t>
        </m:r>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oMath>
      <w:r w:rsidRPr="007C51AB">
        <w:t xml:space="preserve"> the coefficient of determination from regressing predictor </w:t>
      </w:r>
      <w:r w:rsidRPr="007C51AB">
        <w:rPr>
          <w:i/>
          <w:iCs/>
        </w:rPr>
        <w:t>j</w:t>
      </w:r>
      <w:r w:rsidRPr="007C51AB">
        <w:t xml:space="preserve"> on all other predictors. </w:t>
      </w:r>
      <w:r w:rsidR="00593FF4">
        <w:t xml:space="preserve">This means that two variables may be expressing the same information within the model, and one can be removed. </w:t>
      </w:r>
      <w:r w:rsidRPr="007C51AB">
        <w:t>Following Ananthakumar and Sarkar (2017), a</w:t>
      </w:r>
      <w:r w:rsidR="00593FF4">
        <w:t xml:space="preserve">ny variable with a VIF higher than 2.5 is filtered out of the model. </w:t>
      </w:r>
      <w:r>
        <w:t>VIF is calculated for all predictors simultaneously</w:t>
      </w:r>
      <w:r w:rsidR="00CD015E">
        <w:t xml:space="preserve"> at a particular iteration</w:t>
      </w:r>
      <w:r>
        <w:t>. T</w:t>
      </w:r>
      <w:r w:rsidRPr="007C51AB">
        <w:t>he predictor with the highest VIF above the threshold is removed, and VIF values are recomputed</w:t>
      </w:r>
      <w:r w:rsidR="00CD015E">
        <w:t xml:space="preserve"> on the following iteration</w:t>
      </w:r>
      <w:r w:rsidRPr="007C51AB">
        <w:t xml:space="preserve"> until all remaining predictors satisfy</w:t>
      </w:r>
      <w:r w:rsidR="0035709B">
        <w:t xml:space="preserve"> </w:t>
      </w:r>
      <m:oMath>
        <m:sSub>
          <m:sSubPr>
            <m:ctrlPr>
              <w:rPr>
                <w:rFonts w:ascii="Cambria Math" w:hAnsi="Cambria Math"/>
                <w:i/>
              </w:rPr>
            </m:ctrlPr>
          </m:sSubPr>
          <m:e>
            <m:r>
              <w:rPr>
                <w:rFonts w:ascii="Cambria Math" w:hAnsi="Cambria Math"/>
              </w:rPr>
              <m:t>VIF</m:t>
            </m:r>
          </m:e>
          <m:sub>
            <m:r>
              <w:rPr>
                <w:rFonts w:ascii="Cambria Math" w:hAnsi="Cambria Math"/>
              </w:rPr>
              <m:t>j</m:t>
            </m:r>
          </m:sub>
        </m:sSub>
      </m:oMath>
      <w:r w:rsidRPr="007C51AB">
        <w:t xml:space="preserve">≤2.5. Once these multicollinear </w:t>
      </w:r>
      <w:r>
        <w:t>variables</w:t>
      </w:r>
      <w:r w:rsidRPr="007C51AB">
        <w:t xml:space="preserve"> are removed, we have confidence that the predictors used in</w:t>
      </w:r>
      <w:r>
        <w:t xml:space="preserve"> </w:t>
      </w:r>
      <w:r w:rsidR="00CD015E">
        <w:t xml:space="preserve">the </w:t>
      </w:r>
      <w:r>
        <w:t>resulting</w:t>
      </w:r>
      <w:r w:rsidRPr="007C51AB">
        <w:t xml:space="preserve"> analysis represent the largest information carry, while removing duplicate effects.</w:t>
      </w:r>
    </w:p>
    <w:p w14:paraId="03D44512" w14:textId="6EDB5545" w:rsidR="007C51AB" w:rsidRPr="007C51AB" w:rsidRDefault="007C51AB" w:rsidP="007C51AB">
      <w:pPr>
        <w:spacing w:before="120" w:after="120"/>
        <w:rPr>
          <w:i/>
          <w:iCs/>
        </w:rPr>
      </w:pPr>
      <w:r>
        <w:rPr>
          <w:i/>
          <w:iCs/>
        </w:rPr>
        <w:t>III. Principal Component Analysis</w:t>
      </w:r>
    </w:p>
    <w:p w14:paraId="577E8E10" w14:textId="1240F973" w:rsidR="00E97748" w:rsidRDefault="007C51AB" w:rsidP="00841B19">
      <w:pPr>
        <w:pStyle w:val="FirstParagraph"/>
        <w:rPr>
          <w:lang w:val="en-US"/>
        </w:rPr>
      </w:pPr>
      <w:r w:rsidRPr="007C51AB">
        <w:rPr>
          <w:lang w:val="en-US"/>
        </w:rPr>
        <w:t>PCA is then applied to the VIF-filtered feature set to eliminate residual correlation, reduce dimensionality, and increase interpretability. Components are retained if their individual explained variance ratio exceeds 5%</w:t>
      </w:r>
      <w:r w:rsidR="00E97748">
        <w:rPr>
          <w:lang w:val="en-US"/>
        </w:rPr>
        <w:t>. This threshold filters out low-variance</w:t>
      </w:r>
      <w:r w:rsidR="00593FF4">
        <w:rPr>
          <w:lang w:val="en-US"/>
        </w:rPr>
        <w:t xml:space="preserve"> </w:t>
      </w:r>
      <w:r w:rsidR="00E97748">
        <w:rPr>
          <w:lang w:val="en-US"/>
        </w:rPr>
        <w:t>components that do not meaningfully contribute to the total variance in the system.</w:t>
      </w:r>
    </w:p>
    <w:p w14:paraId="56EB6542" w14:textId="081B23E7" w:rsidR="00E97748" w:rsidRPr="00E97748" w:rsidRDefault="00E97748" w:rsidP="00E97748">
      <w:pPr>
        <w:spacing w:before="120" w:after="120"/>
        <w:rPr>
          <w:i/>
          <w:iCs/>
        </w:rPr>
      </w:pPr>
      <w:r>
        <w:rPr>
          <w:i/>
          <w:iCs/>
        </w:rPr>
        <w:t>IV. Logistic Regression</w:t>
      </w:r>
    </w:p>
    <w:p w14:paraId="04D0F85C" w14:textId="0973861F" w:rsidR="00E97748" w:rsidRDefault="00E97748" w:rsidP="00841B19">
      <w:pPr>
        <w:pStyle w:val="FirstParagraph"/>
      </w:pPr>
      <w:r w:rsidRPr="00E97748">
        <w:lastRenderedPageBreak/>
        <w:t xml:space="preserve">The probability that company </w:t>
      </w:r>
      <w:r w:rsidRPr="00E97748">
        <w:rPr>
          <w:i/>
          <w:iCs/>
        </w:rPr>
        <w:t>i</w:t>
      </w:r>
      <w:r w:rsidRPr="00E97748">
        <w:t xml:space="preserve"> will outperform the S&amp;P 500 in quarter t+1, given its PCA score</w:t>
      </w:r>
      <w:r>
        <w:t xml:space="preserve"> </w:t>
      </w:r>
      <m:oMath>
        <m:sSub>
          <m:sSubPr>
            <m:ctrlPr>
              <w:rPr>
                <w:rFonts w:ascii="Cambria Math" w:hAnsi="Cambria Math"/>
                <w:i/>
              </w:rPr>
            </m:ctrlPr>
          </m:sSubPr>
          <m:e>
            <m:r>
              <w:rPr>
                <w:rFonts w:ascii="Cambria Math" w:hAnsi="Cambria Math"/>
              </w:rPr>
              <m:t>vector z</m:t>
            </m:r>
          </m:e>
          <m:sub>
            <m:r>
              <w:rPr>
                <w:rFonts w:ascii="Cambria Math" w:hAnsi="Cambria Math"/>
              </w:rPr>
              <m:t>i,t</m:t>
            </m:r>
          </m:sub>
        </m:sSub>
      </m:oMath>
      <w:r w:rsidRPr="00E97748">
        <w:t>, is modeled as:</w:t>
      </w:r>
    </w:p>
    <w:p w14:paraId="776A03DB" w14:textId="77777777" w:rsidR="00E97748" w:rsidRDefault="00E97748" w:rsidP="00841B19">
      <w:pPr>
        <w:pStyle w:val="FirstParagraph"/>
      </w:pPr>
    </w:p>
    <w:p w14:paraId="39466752" w14:textId="54551D08" w:rsidR="00E97748" w:rsidRDefault="00E97748" w:rsidP="00E97748">
      <w:pPr>
        <w:pStyle w:val="FirstParagraph"/>
        <w:spacing w:line="276" w:lineRule="auto"/>
        <w:jc w:val="right"/>
      </w:pPr>
      <m:oMath>
        <m:r>
          <w:rPr>
            <w:rFonts w:ascii="Cambria Math" w:hAnsi="Cambria Math"/>
          </w:rPr>
          <m:t>P</m:t>
        </m:r>
        <m:d>
          <m:dPr>
            <m:endChr m:val="|"/>
            <m:ctrlPr>
              <w:rPr>
                <w:rFonts w:ascii="Cambria Math" w:hAnsi="Cambria Math"/>
                <w:i/>
              </w:rPr>
            </m:ctrlPr>
          </m:dPr>
          <m:e>
            <m:r>
              <w:rPr>
                <w:rFonts w:ascii="Cambria Math" w:hAnsi="Cambria Math"/>
              </w:rPr>
              <m:t xml:space="preserve">y=1 </m:t>
            </m:r>
          </m:e>
        </m:d>
        <m:r>
          <w:rPr>
            <w:rFonts w:ascii="Cambria Math" w:hAnsi="Cambria Math"/>
          </w:rPr>
          <m:t xml:space="preserve"> z)= </m:t>
        </m:r>
        <m:f>
          <m:fPr>
            <m:ctrlPr>
              <w:rPr>
                <w:rFonts w:ascii="Cambria Math" w:hAnsi="Cambria Math"/>
                <w:i/>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*z)</m:t>
                </m:r>
              </m:sup>
            </m:sSup>
          </m:den>
        </m:f>
      </m:oMath>
      <w:r>
        <w:tab/>
      </w:r>
      <w:r>
        <w:tab/>
      </w:r>
      <w:r>
        <w:tab/>
        <w:t>(2)</w:t>
      </w:r>
    </w:p>
    <w:p w14:paraId="5F5E6E05" w14:textId="77777777" w:rsidR="00E97748" w:rsidRDefault="00E97748" w:rsidP="00E97748">
      <w:pPr>
        <w:pStyle w:val="FirstParagraph"/>
        <w:spacing w:line="276" w:lineRule="auto"/>
        <w:jc w:val="right"/>
      </w:pPr>
    </w:p>
    <w:p w14:paraId="39449220" w14:textId="06F76D2F" w:rsidR="00E97748" w:rsidRDefault="00E97748" w:rsidP="00841B19">
      <w:pPr>
        <w:pStyle w:val="FirstParagraph"/>
      </w:pPr>
      <w:r>
        <w:t>Where (2) represents the standard logistic regression formula</w:t>
      </w:r>
      <w:r w:rsidR="00593FF4">
        <w:t>, and T represents the principal component vector</w:t>
      </w:r>
      <w:r w:rsidR="00CD015E">
        <w:t xml:space="preserve"> for a given row record</w:t>
      </w:r>
      <w:r w:rsidR="00593FF4">
        <w:t>.</w:t>
      </w:r>
      <w:r>
        <w:t xml:space="preserve"> Overall </w:t>
      </w:r>
      <w:r w:rsidRPr="00E97748">
        <w:t>model statistical significance is assessed via the Likelihood Ratio Test,  individual components via Wald z-tests, and model fit is reported using McFadden's Pseudo-R². The classification threshold, , which is the probability cutoff for an out/underperformer, was also adjusted on a range [0.30, 0.75] on the training data to maximize F1 score.</w:t>
      </w:r>
      <w:r>
        <w:t xml:space="preserve"> </w:t>
      </w:r>
    </w:p>
    <w:p w14:paraId="76AE006D" w14:textId="7EA43D6C" w:rsidR="00E97748" w:rsidRPr="00E97748" w:rsidRDefault="00E97748" w:rsidP="00E97748">
      <w:pPr>
        <w:spacing w:before="120" w:after="120"/>
        <w:rPr>
          <w:i/>
          <w:iCs/>
        </w:rPr>
      </w:pPr>
      <w:r>
        <w:rPr>
          <w:i/>
          <w:iCs/>
        </w:rPr>
        <w:t>V. Segmentation Configurations</w:t>
      </w:r>
    </w:p>
    <w:p w14:paraId="4324D28B" w14:textId="1D04939A" w:rsidR="00E97748" w:rsidRDefault="00E97748" w:rsidP="00841B19">
      <w:pPr>
        <w:pStyle w:val="FirstParagraph"/>
      </w:pPr>
      <w:r w:rsidRPr="00E97748">
        <w:t xml:space="preserve">Five configurations are evaluated, totaling 45 distinct </w:t>
      </w:r>
      <w:r w:rsidR="00430C7C">
        <w:t>logistic</w:t>
      </w:r>
      <w:r w:rsidR="00A87069">
        <w:t xml:space="preserve"> regression </w:t>
      </w:r>
      <w:r w:rsidRPr="00E97748">
        <w:t>mode</w:t>
      </w:r>
      <w:r>
        <w:t>l</w:t>
      </w:r>
      <w:r w:rsidRPr="00E97748">
        <w:t>s: (</w:t>
      </w:r>
      <w:r>
        <w:t>a</w:t>
      </w:r>
      <w:r w:rsidRPr="00E97748">
        <w:t xml:space="preserve">) </w:t>
      </w:r>
      <w:r w:rsidR="00A87069">
        <w:t xml:space="preserve">a </w:t>
      </w:r>
      <w:r w:rsidRPr="00E97748">
        <w:t>global pooled model containing all companies</w:t>
      </w:r>
      <w:r w:rsidR="00430C7C">
        <w:t xml:space="preserve"> and observations</w:t>
      </w:r>
      <w:r w:rsidRPr="00E97748">
        <w:t>, (</w:t>
      </w:r>
      <w:r>
        <w:t>b</w:t>
      </w:r>
      <w:r w:rsidRPr="00E97748">
        <w:t xml:space="preserve">) </w:t>
      </w:r>
      <w:r w:rsidR="00A87069">
        <w:t xml:space="preserve">a </w:t>
      </w:r>
      <w:r w:rsidRPr="00E97748">
        <w:t xml:space="preserve">market capitalization tier containing three </w:t>
      </w:r>
      <w:r w:rsidR="00A87069">
        <w:t xml:space="preserve">approximately evenly split </w:t>
      </w:r>
      <w:r w:rsidRPr="00E97748">
        <w:t>buckets (Large Cap &gt;$10B, Mid Cap $2B-$10B, Small Cap &lt;$2B), (</w:t>
      </w:r>
      <w:r>
        <w:t>c</w:t>
      </w:r>
      <w:r w:rsidRPr="00E97748">
        <w:t xml:space="preserve">) </w:t>
      </w:r>
      <w:r w:rsidR="00A87069">
        <w:t xml:space="preserve">a </w:t>
      </w:r>
      <w:r w:rsidRPr="00E97748">
        <w:t>Global Industry Classification Standard (GICS) sector (11 sectors)</w:t>
      </w:r>
      <w:r w:rsidR="00A87069">
        <w:t xml:space="preserve"> model</w:t>
      </w:r>
      <w:r w:rsidRPr="00E97748">
        <w:t>, (</w:t>
      </w:r>
      <w:r>
        <w:t>d</w:t>
      </w:r>
      <w:r w:rsidRPr="00E97748">
        <w:t>) GICS sector with K-Means clustering (k=2, applied within each sector on PCA scores), and (</w:t>
      </w:r>
      <w:r>
        <w:t>e</w:t>
      </w:r>
      <w:r w:rsidRPr="00E97748">
        <w:t>) GICS sector with market capitalization as an additional covariate.</w:t>
      </w:r>
      <w:r>
        <w:t xml:space="preserve"> Note that GICS sector analysis </w:t>
      </w:r>
      <w:r w:rsidR="001B2865">
        <w:t xml:space="preserve">buckets the companies based on their primary source of revenue. </w:t>
      </w:r>
      <w:r w:rsidRPr="00E97748">
        <w:t>The driving factor for this analysis and further segmentation was to determine the effects that various bifurcations had on model performance. Does the model predict better on one GICS sector against another? How influential is market cap on that same prediction? These questions were under consideration and prompted the team to determine what factors influenced accuracy</w:t>
      </w:r>
      <w:r w:rsidR="00A87069">
        <w:t xml:space="preserve"> within these models</w:t>
      </w:r>
      <w:r>
        <w:t>.</w:t>
      </w:r>
      <w:r w:rsidR="00A87069">
        <w:t xml:space="preserve"> </w:t>
      </w:r>
      <w:r>
        <w:t xml:space="preserve"> </w:t>
      </w:r>
    </w:p>
    <w:p w14:paraId="20B51911" w14:textId="5FC27BDD" w:rsidR="00E97748" w:rsidRDefault="001B2865" w:rsidP="001B2865">
      <w:pPr>
        <w:spacing w:before="120" w:after="120"/>
        <w:rPr>
          <w:i/>
          <w:iCs/>
        </w:rPr>
      </w:pPr>
      <w:r>
        <w:rPr>
          <w:i/>
          <w:iCs/>
        </w:rPr>
        <w:t>VI. Gradient Boosting Benchmark</w:t>
      </w:r>
    </w:p>
    <w:p w14:paraId="56C8ABCA" w14:textId="5724CF63" w:rsidR="001B2865" w:rsidRPr="001B2865" w:rsidRDefault="001B2865" w:rsidP="001B2865">
      <w:pPr>
        <w:spacing w:before="120" w:after="120"/>
      </w:pPr>
      <w:r>
        <w:t>As the logistic regression model evaluated assumed strictly linear relationships between the covariates, the team also analyzed a Gradient Boosting Classifier to determine the accuracy</w:t>
      </w:r>
      <w:r w:rsidR="005204DC">
        <w:t xml:space="preserve"> score of a model</w:t>
      </w:r>
      <w:r>
        <w:t xml:space="preserve"> that was free from this bias. A model with 200 estimators, max depth of 3, and a learning rate of 0.1 is trained on the same 9 PCA components. </w:t>
      </w:r>
      <w:r w:rsidRPr="001B2865">
        <w:t>Area Under Cur</w:t>
      </w:r>
      <w:r>
        <w:t>v</w:t>
      </w:r>
      <w:r w:rsidRPr="001B2865">
        <w:t xml:space="preserve">e (AUC) </w:t>
      </w:r>
      <w:r>
        <w:t xml:space="preserve">comparison </w:t>
      </w:r>
      <w:r w:rsidRPr="001B2865">
        <w:t>relative to logistic regression quantifies the amount of non-linear signal present in the data that logistic regression cannot capture.</w:t>
      </w:r>
      <w:r>
        <w:t xml:space="preserve"> </w:t>
      </w:r>
      <w:r w:rsidR="00A87069">
        <w:t xml:space="preserve">Results are discussed in the </w:t>
      </w:r>
      <w:r w:rsidR="005204DC">
        <w:t>Analysis section.</w:t>
      </w:r>
    </w:p>
    <w:p w14:paraId="4E5796D0" w14:textId="3A28B82E" w:rsidR="001B2865" w:rsidRPr="008F5F8B" w:rsidRDefault="001B2865" w:rsidP="001B2865">
      <w:pPr>
        <w:pStyle w:val="SectionHeading"/>
      </w:pPr>
      <w:r>
        <w:t>Data Description and Preprocessing</w:t>
      </w:r>
    </w:p>
    <w:p w14:paraId="55196B87" w14:textId="799AFE9C" w:rsidR="001B2865" w:rsidRPr="00E97748" w:rsidRDefault="001B2865" w:rsidP="001B2865">
      <w:pPr>
        <w:spacing w:before="120" w:after="120"/>
        <w:rPr>
          <w:i/>
          <w:iCs/>
        </w:rPr>
      </w:pPr>
      <w:r>
        <w:rPr>
          <w:i/>
          <w:iCs/>
        </w:rPr>
        <w:t>I. Data Sources</w:t>
      </w:r>
    </w:p>
    <w:p w14:paraId="1DED5CF8" w14:textId="585985F0" w:rsidR="001B2865" w:rsidRPr="001B2865" w:rsidRDefault="001B2865" w:rsidP="001B2865">
      <w:pPr>
        <w:pStyle w:val="FirstParagraph"/>
        <w:rPr>
          <w:lang w:val="en-US"/>
        </w:rPr>
      </w:pPr>
      <w:r w:rsidRPr="001B2865">
        <w:rPr>
          <w:lang w:val="en-US"/>
        </w:rPr>
        <w:t>Data are drawn from three primary sources accessed via the Wharton Research Data Service (WRDS)</w:t>
      </w:r>
      <w:r>
        <w:rPr>
          <w:lang w:val="en-US"/>
        </w:rPr>
        <w:t xml:space="preserve"> hosted by the University of Pennsylvania</w:t>
      </w:r>
      <w:r w:rsidR="007719C4">
        <w:rPr>
          <w:lang w:val="en-US"/>
        </w:rPr>
        <w:t xml:space="preserve">. The </w:t>
      </w:r>
      <w:r w:rsidRPr="001B2865">
        <w:rPr>
          <w:lang w:val="en-US"/>
        </w:rPr>
        <w:t xml:space="preserve">Compustat Fundamentals Quarterly (fundq table) </w:t>
      </w:r>
      <w:r w:rsidR="007719C4">
        <w:rPr>
          <w:lang w:val="en-US"/>
        </w:rPr>
        <w:t>provides</w:t>
      </w:r>
      <w:r w:rsidRPr="001B2865">
        <w:rPr>
          <w:lang w:val="en-US"/>
        </w:rPr>
        <w:t xml:space="preserve"> 2</w:t>
      </w:r>
      <w:r w:rsidR="00CD015E">
        <w:rPr>
          <w:lang w:val="en-US"/>
        </w:rPr>
        <w:t>2</w:t>
      </w:r>
      <w:r w:rsidRPr="001B2865">
        <w:rPr>
          <w:lang w:val="en-US"/>
        </w:rPr>
        <w:t xml:space="preserve"> raw financial statement fields,</w:t>
      </w:r>
      <w:r w:rsidR="007719C4">
        <w:rPr>
          <w:lang w:val="en-US"/>
        </w:rPr>
        <w:t xml:space="preserve"> the</w:t>
      </w:r>
      <w:r w:rsidRPr="001B2865">
        <w:rPr>
          <w:lang w:val="en-US"/>
        </w:rPr>
        <w:t xml:space="preserve"> Center for Research Security Prices (CRSP) </w:t>
      </w:r>
      <w:r w:rsidR="007719C4">
        <w:rPr>
          <w:lang w:val="en-US"/>
        </w:rPr>
        <w:t>provides</w:t>
      </w:r>
      <w:r w:rsidRPr="001B2865">
        <w:rPr>
          <w:lang w:val="en-US"/>
        </w:rPr>
        <w:t xml:space="preserve"> quarterly stock and S&amp;P 500 returns, and the Federal </w:t>
      </w:r>
      <w:r w:rsidRPr="001B2865">
        <w:rPr>
          <w:lang w:val="en-US"/>
        </w:rPr>
        <w:t xml:space="preserve">Reserve Economic Data (FRED) API </w:t>
      </w:r>
      <w:r w:rsidR="007719C4">
        <w:rPr>
          <w:lang w:val="en-US"/>
        </w:rPr>
        <w:t>provides</w:t>
      </w:r>
      <w:r w:rsidRPr="001B2865">
        <w:rPr>
          <w:lang w:val="en-US"/>
        </w:rPr>
        <w:t xml:space="preserve"> macro level indicators: </w:t>
      </w:r>
      <w:r w:rsidR="007719C4">
        <w:rPr>
          <w:lang w:val="en-US"/>
        </w:rPr>
        <w:t xml:space="preserve">GDP </w:t>
      </w:r>
      <w:r w:rsidRPr="001B2865">
        <w:rPr>
          <w:lang w:val="en-US"/>
        </w:rPr>
        <w:t xml:space="preserve">growth and CPI inflation. S&amp;P 500 constituent membership is tracked through the WRDS index history file to ensure only actual index members are included at each point in time. As the S&amp;P 500 constituent members are adjusted quarterly, </w:t>
      </w:r>
      <w:r w:rsidR="00CD015E">
        <w:rPr>
          <w:lang w:val="en-US"/>
        </w:rPr>
        <w:t>the team is diligent in ensuring accurate membership tracking through time</w:t>
      </w:r>
      <w:r w:rsidRPr="001B2865">
        <w:rPr>
          <w:lang w:val="en-US"/>
        </w:rPr>
        <w:t xml:space="preserve">. GICS sector classifications are </w:t>
      </w:r>
      <w:r w:rsidR="00CD015E">
        <w:rPr>
          <w:lang w:val="en-US"/>
        </w:rPr>
        <w:t xml:space="preserve">then </w:t>
      </w:r>
      <w:r w:rsidRPr="001B2865">
        <w:rPr>
          <w:lang w:val="en-US"/>
        </w:rPr>
        <w:t>joined via the company identifier (gvkey). The raw Compustat extract covers Q1 2010 through Q4 2024 and contains 30,841 company-quarter observations</w:t>
      </w:r>
      <w:r w:rsidR="007719C4">
        <w:rPr>
          <w:lang w:val="en-US"/>
        </w:rPr>
        <w:t xml:space="preserve">. </w:t>
      </w:r>
      <w:r w:rsidRPr="001B2865">
        <w:rPr>
          <w:lang w:val="en-US"/>
        </w:rPr>
        <w:t>This is in</w:t>
      </w:r>
      <w:r w:rsidR="007719C4">
        <w:rPr>
          <w:lang w:val="en-US"/>
        </w:rPr>
        <w:t xml:space="preserve"> </w:t>
      </w:r>
      <w:r w:rsidRPr="001B2865">
        <w:rPr>
          <w:lang w:val="en-US"/>
        </w:rPr>
        <w:t>line with the expected amount of 30,000 (15 years * 4 quarters * 500 companies) samples and the team attributes the extra records due to certain quarters containing slightly more than 500 companies</w:t>
      </w:r>
      <w:r w:rsidR="007719C4">
        <w:rPr>
          <w:lang w:val="en-US"/>
        </w:rPr>
        <w:t xml:space="preserve">, </w:t>
      </w:r>
      <w:r w:rsidR="00CD015E">
        <w:rPr>
          <w:lang w:val="en-US"/>
        </w:rPr>
        <w:t>which can occur when companies included have different share tiering available</w:t>
      </w:r>
      <w:r w:rsidR="007C7727">
        <w:rPr>
          <w:lang w:val="en-US"/>
        </w:rPr>
        <w:t xml:space="preserve"> [9]</w:t>
      </w:r>
      <w:r w:rsidR="007719C4">
        <w:rPr>
          <w:lang w:val="en-US"/>
        </w:rPr>
        <w:t>.</w:t>
      </w:r>
      <w:r w:rsidR="00F475C8">
        <w:rPr>
          <w:lang w:val="en-US"/>
        </w:rPr>
        <w:t xml:space="preserve"> </w:t>
      </w:r>
    </w:p>
    <w:p w14:paraId="73DA7B80" w14:textId="6D434FD0" w:rsidR="001B2865" w:rsidRDefault="001B2865" w:rsidP="001B2865">
      <w:pPr>
        <w:spacing w:before="120" w:after="120"/>
        <w:rPr>
          <w:i/>
          <w:iCs/>
        </w:rPr>
      </w:pPr>
      <w:r>
        <w:rPr>
          <w:i/>
          <w:iCs/>
        </w:rPr>
        <w:t>II. Feature Correlation</w:t>
      </w:r>
    </w:p>
    <w:p w14:paraId="01E07F04" w14:textId="36AD5479" w:rsidR="003E4717" w:rsidRDefault="003E4717" w:rsidP="003E4717">
      <w:pPr>
        <w:jc w:val="both"/>
      </w:pPr>
      <w:r>
        <w:t>Figure I presents the Pearson correlation (</w:t>
      </w:r>
      <m:oMath>
        <m:r>
          <w:rPr>
            <w:rFonts w:ascii="Cambria Math" w:hAnsi="Cambria Math"/>
          </w:rPr>
          <m:t>R</m:t>
        </m:r>
      </m:oMath>
      <w:r>
        <w:t xml:space="preserve">) matrix for the 12 base financial ratios before VIF filtering is applied. </w:t>
      </w:r>
    </w:p>
    <w:p w14:paraId="1C755E79" w14:textId="77777777" w:rsidR="003E4717" w:rsidRDefault="003E4717" w:rsidP="003E4717">
      <w:pPr>
        <w:jc w:val="both"/>
      </w:pPr>
      <w:r>
        <w:t>As certain ratios have strong correlations, especially pertaining to Profitability, the team’s decision to apply VIF filtering is appropriate.</w:t>
      </w:r>
    </w:p>
    <w:p w14:paraId="1D856BDC" w14:textId="77777777" w:rsidR="00B74EFD" w:rsidRDefault="00B74EFD" w:rsidP="003E4717">
      <w:pPr>
        <w:jc w:val="both"/>
      </w:pPr>
    </w:p>
    <w:p w14:paraId="4678E9D8" w14:textId="00287A5A" w:rsidR="00B74EFD" w:rsidRPr="00F475C8" w:rsidRDefault="003E4717" w:rsidP="00F475C8">
      <w:pPr>
        <w:spacing w:before="120" w:after="40"/>
        <w:jc w:val="center"/>
      </w:pPr>
      <w:r>
        <w:rPr>
          <w:noProof/>
          <w:lang w:eastAsia="en-US"/>
        </w:rPr>
        <w:drawing>
          <wp:inline distT="0" distB="0" distL="0" distR="0" wp14:anchorId="170A6977" wp14:editId="057CA565">
            <wp:extent cx="3019425" cy="2557168"/>
            <wp:effectExtent l="0" t="0" r="0" b="0"/>
            <wp:docPr id="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3019425" cy="2557168"/>
                    </a:xfrm>
                    <a:prstGeom prst="rect">
                      <a:avLst/>
                    </a:prstGeom>
                    <a:ln/>
                  </pic:spPr>
                </pic:pic>
              </a:graphicData>
            </a:graphic>
          </wp:inline>
        </w:drawing>
      </w:r>
    </w:p>
    <w:p w14:paraId="306B89FA" w14:textId="22879557" w:rsidR="00EB30D6" w:rsidRPr="00EB30D6" w:rsidRDefault="00EB30D6" w:rsidP="00EB30D6">
      <w:pPr>
        <w:spacing w:before="40" w:after="20"/>
        <w:jc w:val="center"/>
      </w:pPr>
      <w:r>
        <w:rPr>
          <w:smallCaps/>
        </w:rPr>
        <w:t>Figure I</w:t>
      </w:r>
    </w:p>
    <w:p w14:paraId="7815B4AC" w14:textId="083D5448" w:rsidR="001B2865" w:rsidRDefault="00EB30D6" w:rsidP="00EB30D6">
      <w:pPr>
        <w:pStyle w:val="FirstParagraph"/>
        <w:jc w:val="center"/>
        <w:rPr>
          <w:smallCaps/>
          <w:sz w:val="16"/>
          <w:szCs w:val="16"/>
          <w:lang w:val="en-US" w:eastAsia="en-US"/>
        </w:rPr>
      </w:pPr>
      <w:r w:rsidRPr="00EB30D6">
        <w:rPr>
          <w:smallCaps/>
          <w:sz w:val="16"/>
          <w:szCs w:val="16"/>
          <w:lang w:val="en-US" w:eastAsia="en-US"/>
        </w:rPr>
        <w:t>Pearson Correlation Matrix of 12 Base Financial Ratios Before VIF Filter Application</w:t>
      </w:r>
    </w:p>
    <w:p w14:paraId="207F3A1B" w14:textId="77777777" w:rsidR="00F475C8" w:rsidRDefault="00F475C8" w:rsidP="00EB30D6">
      <w:pPr>
        <w:pStyle w:val="FirstParagraph"/>
        <w:jc w:val="center"/>
      </w:pPr>
    </w:p>
    <w:p w14:paraId="7AD351A9" w14:textId="022D51E0" w:rsidR="003E4717" w:rsidRDefault="003E4717" w:rsidP="003E4717">
      <w:pPr>
        <w:spacing w:before="120" w:after="120"/>
        <w:rPr>
          <w:i/>
          <w:iCs/>
        </w:rPr>
      </w:pPr>
      <w:r>
        <w:rPr>
          <w:i/>
          <w:iCs/>
        </w:rPr>
        <w:t>III. Preprocessing Pipeline</w:t>
      </w:r>
    </w:p>
    <w:p w14:paraId="1D2A4CDC" w14:textId="141E74B4" w:rsidR="003E4717" w:rsidRDefault="003E4717" w:rsidP="00841B19">
      <w:pPr>
        <w:pStyle w:val="FirstParagraph"/>
      </w:pPr>
      <w:r w:rsidRPr="003E4717">
        <w:t>Three preprocessing steps are applied in sequence to the initial company-quarter</w:t>
      </w:r>
      <w:r>
        <w:t>-year</w:t>
      </w:r>
      <w:r w:rsidRPr="003E4717">
        <w:t xml:space="preserve"> observations. First, winsorization clips each data point at its 1st and 99th percentile values</w:t>
      </w:r>
      <w:r w:rsidR="002E1C82">
        <w:t>;</w:t>
      </w:r>
      <w:r w:rsidRPr="003E4717">
        <w:t xml:space="preserve"> computed on training data only. Winsorization </w:t>
      </w:r>
      <w:r>
        <w:t>is</w:t>
      </w:r>
      <w:r w:rsidRPr="003E4717">
        <w:t xml:space="preserve">  applied identically to all test observation</w:t>
      </w:r>
      <w:r w:rsidR="002E1C82">
        <w:t xml:space="preserve"> columns</w:t>
      </w:r>
      <w:r w:rsidRPr="003E4717">
        <w:t xml:space="preserve"> to ensure proper data quality on the training set. Second, standardization transforms each</w:t>
      </w:r>
      <w:r w:rsidR="00F475C8">
        <w:t xml:space="preserve"> data element</w:t>
      </w:r>
      <w:r w:rsidRPr="003E4717">
        <w:t xml:space="preserve"> to have zero mean and unit standard deviation. This ensures no predictor dominates due to scale differences naturally present in the data (i.e, comparing a market capitalization of trillions </w:t>
      </w:r>
      <w:r w:rsidRPr="003E4717">
        <w:lastRenderedPageBreak/>
        <w:t>to a percentage based QoQ ROA). Third, rows containing any missing values after ratio computation are removed; the primary sources for missing data are zero-revenue observations and the lack of lagged responses on the first</w:t>
      </w:r>
      <w:r>
        <w:t xml:space="preserve"> quarter measured</w:t>
      </w:r>
      <w:r w:rsidRPr="003E4717">
        <w:t>. Compustat</w:t>
      </w:r>
      <w:r>
        <w:t xml:space="preserve"> has no guarantee of record capture for a particular data element, resulting in some </w:t>
      </w:r>
      <w:r w:rsidR="00F475C8">
        <w:t xml:space="preserve">NA </w:t>
      </w:r>
      <w:r>
        <w:t>values in the dataset, which were also removed.</w:t>
      </w:r>
      <w:r w:rsidRPr="003E4717">
        <w:t xml:space="preserve"> </w:t>
      </w:r>
      <w:r>
        <w:t xml:space="preserve">The </w:t>
      </w:r>
      <w:r w:rsidRPr="003E4717">
        <w:t xml:space="preserve">final cleaned training dataset </w:t>
      </w:r>
      <w:r w:rsidR="00F475C8">
        <w:t xml:space="preserve">utilized </w:t>
      </w:r>
      <w:r w:rsidRPr="003E4717">
        <w:t>16,589 complete observations</w:t>
      </w:r>
      <w:r w:rsidR="002E1C82">
        <w:t xml:space="preserve"> each having 24 intendent variables.</w:t>
      </w:r>
    </w:p>
    <w:p w14:paraId="0E70F412" w14:textId="1E5010E9" w:rsidR="000358F3" w:rsidRDefault="003E4717" w:rsidP="000358F3">
      <w:pPr>
        <w:pStyle w:val="SectionHeading"/>
      </w:pPr>
      <w:r>
        <w:t>Analysis and Implementation</w:t>
      </w:r>
    </w:p>
    <w:p w14:paraId="13B6AF3E" w14:textId="0F9793B2" w:rsidR="000358F3" w:rsidRDefault="000358F3" w:rsidP="000358F3">
      <w:pPr>
        <w:spacing w:before="120" w:after="120"/>
        <w:rPr>
          <w:i/>
          <w:iCs/>
        </w:rPr>
      </w:pPr>
      <w:r>
        <w:rPr>
          <w:i/>
          <w:iCs/>
        </w:rPr>
        <w:t>I. VIF Analysis Results</w:t>
      </w:r>
    </w:p>
    <w:p w14:paraId="1097ECF1" w14:textId="2789F422" w:rsidR="000358F3" w:rsidRDefault="000358F3" w:rsidP="000358F3">
      <w:pPr>
        <w:jc w:val="both"/>
      </w:pPr>
      <w:r>
        <w:t>Iterative VIF filtering at threshold 2.5 removes four of the 24 candidate features: Net Profit Margin,</w:t>
      </w:r>
      <w:r w:rsidR="00EB30D6">
        <w:t xml:space="preserve"> Delta ROA,</w:t>
      </w:r>
      <w:r>
        <w:t xml:space="preserve"> </w:t>
      </w:r>
      <w:r w:rsidR="00EB30D6">
        <w:t xml:space="preserve">Return on Assets, </w:t>
      </w:r>
      <w:r>
        <w:t>and Delta Operating Margin</w:t>
      </w:r>
      <w:r w:rsidR="002E1C82">
        <w:t>.</w:t>
      </w:r>
      <w:r>
        <w:t xml:space="preserve"> These variables exhibit high collinearity with the retained profitability and efficiency features. The remaining 20 features all satisfy </w:t>
      </w:r>
      <m:oMath>
        <m:sSub>
          <m:sSubPr>
            <m:ctrlPr>
              <w:rPr>
                <w:rFonts w:ascii="Cambria Math" w:hAnsi="Cambria Math"/>
              </w:rPr>
            </m:ctrlPr>
          </m:sSubPr>
          <m:e>
            <m:r>
              <w:rPr>
                <w:rFonts w:ascii="Cambria Math" w:hAnsi="Cambria Math"/>
              </w:rPr>
              <m:t>VIF</m:t>
            </m:r>
          </m:e>
          <m:sub>
            <m:r>
              <w:rPr>
                <w:rFonts w:ascii="Cambria Math" w:hAnsi="Cambria Math"/>
              </w:rPr>
              <m:t>j</m:t>
            </m:r>
          </m:sub>
        </m:sSub>
        <m:r>
          <w:rPr>
            <w:rFonts w:ascii="Cambria Math" w:hAnsi="Cambria Math"/>
          </w:rPr>
          <m:t>≤2.5</m:t>
        </m:r>
      </m:oMath>
      <w:r>
        <w:t>. Figure I</w:t>
      </w:r>
      <w:r w:rsidR="00EB30D6">
        <w:t>I</w:t>
      </w:r>
      <w:r>
        <w:t xml:space="preserve"> displays all 24 initial VIF values, with </w:t>
      </w:r>
      <w:r w:rsidR="002E1C82">
        <w:t>low VIF</w:t>
      </w:r>
      <w:r>
        <w:t xml:space="preserve"> features in green</w:t>
      </w:r>
      <w:r w:rsidR="00EB30D6">
        <w:t xml:space="preserve">, </w:t>
      </w:r>
      <w:r w:rsidR="00C26705">
        <w:t xml:space="preserve">and </w:t>
      </w:r>
      <w:r w:rsidR="00F475C8">
        <w:t xml:space="preserve">high </w:t>
      </w:r>
      <w:r w:rsidR="00C26705">
        <w:t>VIF</w:t>
      </w:r>
      <w:r>
        <w:t xml:space="preserve"> features in red. Table I summarizes the key results</w:t>
      </w:r>
      <w:r w:rsidR="00EB30D6">
        <w:t xml:space="preserve">. </w:t>
      </w:r>
    </w:p>
    <w:p w14:paraId="3AD7AF31" w14:textId="77777777" w:rsidR="000358F3" w:rsidRDefault="000358F3" w:rsidP="000358F3">
      <w:pPr>
        <w:jc w:val="both"/>
      </w:pPr>
    </w:p>
    <w:p w14:paraId="0CE1E2E5" w14:textId="2E9D7FBE" w:rsidR="00B74EFD" w:rsidRPr="00F475C8" w:rsidRDefault="000358F3" w:rsidP="00F475C8">
      <w:pPr>
        <w:spacing w:before="120" w:after="40"/>
        <w:jc w:val="center"/>
      </w:pPr>
      <w:r>
        <w:rPr>
          <w:noProof/>
          <w:lang w:eastAsia="en-US"/>
        </w:rPr>
        <w:drawing>
          <wp:inline distT="0" distB="0" distL="0" distR="0" wp14:anchorId="70D7AAF1" wp14:editId="1CC5C53B">
            <wp:extent cx="2926080" cy="2654728"/>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926080" cy="2654728"/>
                    </a:xfrm>
                    <a:prstGeom prst="rect">
                      <a:avLst/>
                    </a:prstGeom>
                    <a:ln/>
                  </pic:spPr>
                </pic:pic>
              </a:graphicData>
            </a:graphic>
          </wp:inline>
        </w:drawing>
      </w:r>
    </w:p>
    <w:p w14:paraId="6D11DC7B" w14:textId="5C88F312" w:rsidR="00EB30D6" w:rsidRPr="00EB30D6" w:rsidRDefault="000358F3" w:rsidP="00EB30D6">
      <w:pPr>
        <w:spacing w:before="40" w:after="20"/>
        <w:jc w:val="center"/>
      </w:pPr>
      <w:r>
        <w:rPr>
          <w:smallCaps/>
        </w:rPr>
        <w:t>Figure II</w:t>
      </w:r>
    </w:p>
    <w:p w14:paraId="1435D922" w14:textId="7AD26D61" w:rsidR="000358F3" w:rsidRDefault="00EB30D6" w:rsidP="000358F3">
      <w:pPr>
        <w:jc w:val="center"/>
        <w:rPr>
          <w:sz w:val="16"/>
          <w:szCs w:val="16"/>
        </w:rPr>
      </w:pPr>
      <w:r w:rsidRPr="00EB30D6">
        <w:rPr>
          <w:smallCaps/>
          <w:sz w:val="16"/>
          <w:szCs w:val="16"/>
          <w:lang w:eastAsia="en-US"/>
        </w:rPr>
        <w:t xml:space="preserve">Initial VIF </w:t>
      </w:r>
      <w:r w:rsidR="00A1659C">
        <w:rPr>
          <w:smallCaps/>
          <w:sz w:val="16"/>
          <w:szCs w:val="16"/>
          <w:lang w:eastAsia="en-US"/>
        </w:rPr>
        <w:t xml:space="preserve">Calculation </w:t>
      </w:r>
      <w:r w:rsidRPr="00EB30D6">
        <w:rPr>
          <w:smallCaps/>
          <w:sz w:val="16"/>
          <w:szCs w:val="16"/>
          <w:lang w:eastAsia="en-US"/>
        </w:rPr>
        <w:t>for 24 Candidate Features</w:t>
      </w:r>
    </w:p>
    <w:p w14:paraId="6B290292" w14:textId="77777777" w:rsidR="00EB30D6" w:rsidRDefault="00EB30D6" w:rsidP="000358F3">
      <w:pPr>
        <w:jc w:val="center"/>
        <w:rPr>
          <w:sz w:val="16"/>
          <w:szCs w:val="16"/>
        </w:rPr>
      </w:pPr>
    </w:p>
    <w:p w14:paraId="42B60274" w14:textId="25C9CBAA" w:rsidR="00EB30D6" w:rsidRDefault="00EB30D6" w:rsidP="000358F3">
      <w:pPr>
        <w:jc w:val="both"/>
      </w:pPr>
      <w:r>
        <w:t xml:space="preserve">Note that in Figure II, 6 variables are above the threshold because it is </w:t>
      </w:r>
      <w:r w:rsidR="002E1C82">
        <w:t xml:space="preserve">the </w:t>
      </w:r>
      <w:r w:rsidR="00F475C8">
        <w:t xml:space="preserve">initial </w:t>
      </w:r>
      <w:r>
        <w:t xml:space="preserve">iteration of the VIF calculation. </w:t>
      </w:r>
      <w:r w:rsidR="00C26705">
        <w:t xml:space="preserve">After </w:t>
      </w:r>
      <w:r>
        <w:t xml:space="preserve">the maximum </w:t>
      </w:r>
      <w:r w:rsidR="00C26705">
        <w:t xml:space="preserve">VIF score </w:t>
      </w:r>
      <w:r>
        <w:t xml:space="preserve">variable </w:t>
      </w:r>
      <w:r w:rsidR="00C26705">
        <w:t xml:space="preserve">is </w:t>
      </w:r>
      <w:r>
        <w:t>removed</w:t>
      </w:r>
      <w:r w:rsidR="00F475C8">
        <w:t xml:space="preserve"> on this iteration</w:t>
      </w:r>
      <w:r w:rsidR="00C26705">
        <w:t>,</w:t>
      </w:r>
      <w:r>
        <w:t xml:space="preserve"> the VIF calculation is re-ran, </w:t>
      </w:r>
      <w:r w:rsidR="00C26705">
        <w:t xml:space="preserve">and </w:t>
      </w:r>
      <w:r>
        <w:t xml:space="preserve">the model sees </w:t>
      </w:r>
      <w:r w:rsidR="00C26705">
        <w:t xml:space="preserve">only </w:t>
      </w:r>
      <w:r>
        <w:t xml:space="preserve">4 variables exit, as </w:t>
      </w:r>
      <w:r w:rsidR="00C26705">
        <w:t>shown in Table 1</w:t>
      </w:r>
      <w:r>
        <w:t xml:space="preserve">. </w:t>
      </w:r>
    </w:p>
    <w:p w14:paraId="74F338B2" w14:textId="77777777" w:rsidR="00B74EFD" w:rsidRDefault="00B74EFD" w:rsidP="000358F3">
      <w:pPr>
        <w:jc w:val="both"/>
      </w:pPr>
    </w:p>
    <w:p w14:paraId="262611CD" w14:textId="77777777" w:rsidR="00EB30D6" w:rsidRDefault="00EB30D6" w:rsidP="00EB30D6">
      <w:pPr>
        <w:spacing w:before="120" w:after="20"/>
        <w:jc w:val="center"/>
      </w:pPr>
      <w:r>
        <w:rPr>
          <w:smallCaps/>
        </w:rPr>
        <w:t>TABLE I</w:t>
      </w:r>
    </w:p>
    <w:p w14:paraId="1D859A26" w14:textId="0E3ABCE1" w:rsidR="00EB30D6" w:rsidRPr="00C26705" w:rsidRDefault="00C26705" w:rsidP="00C26705">
      <w:pPr>
        <w:jc w:val="center"/>
        <w:rPr>
          <w:sz w:val="16"/>
          <w:szCs w:val="16"/>
        </w:rPr>
      </w:pPr>
      <w:r>
        <w:rPr>
          <w:smallCaps/>
          <w:sz w:val="16"/>
          <w:szCs w:val="16"/>
          <w:lang w:eastAsia="en-US"/>
        </w:rPr>
        <w:t>VIF Analysis Summary</w:t>
      </w:r>
    </w:p>
    <w:tbl>
      <w:tblPr>
        <w:tblW w:w="460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60"/>
        <w:gridCol w:w="1296"/>
        <w:gridCol w:w="1152"/>
      </w:tblGrid>
      <w:tr w:rsidR="00EB30D6" w14:paraId="44DD67FD" w14:textId="77777777" w:rsidTr="00E13005">
        <w:trPr>
          <w:jc w:val="center"/>
        </w:trPr>
        <w:tc>
          <w:tcPr>
            <w:tcW w:w="2160" w:type="dxa"/>
            <w:vAlign w:val="center"/>
          </w:tcPr>
          <w:p w14:paraId="297771E2" w14:textId="77777777" w:rsidR="00EB30D6" w:rsidRDefault="00EB30D6" w:rsidP="00E13005">
            <w:pPr>
              <w:spacing w:before="20" w:after="20"/>
              <w:jc w:val="center"/>
            </w:pPr>
            <w:r>
              <w:rPr>
                <w:b/>
                <w:bCs/>
                <w:sz w:val="16"/>
                <w:szCs w:val="16"/>
              </w:rPr>
              <w:t>Feature</w:t>
            </w:r>
          </w:p>
        </w:tc>
        <w:tc>
          <w:tcPr>
            <w:tcW w:w="1296" w:type="dxa"/>
            <w:vAlign w:val="center"/>
          </w:tcPr>
          <w:p w14:paraId="6658A8EA" w14:textId="77777777" w:rsidR="00EB30D6" w:rsidRDefault="00EB30D6" w:rsidP="00E13005">
            <w:pPr>
              <w:spacing w:before="20" w:after="20"/>
              <w:jc w:val="center"/>
            </w:pPr>
            <w:r>
              <w:rPr>
                <w:b/>
                <w:bCs/>
                <w:sz w:val="16"/>
                <w:szCs w:val="16"/>
              </w:rPr>
              <w:t>Initial VIF</w:t>
            </w:r>
          </w:p>
        </w:tc>
        <w:tc>
          <w:tcPr>
            <w:tcW w:w="1152" w:type="dxa"/>
            <w:vAlign w:val="center"/>
          </w:tcPr>
          <w:p w14:paraId="72551396" w14:textId="77777777" w:rsidR="00EB30D6" w:rsidRDefault="00EB30D6" w:rsidP="00E13005">
            <w:pPr>
              <w:spacing w:before="20" w:after="20"/>
              <w:jc w:val="center"/>
            </w:pPr>
            <w:r>
              <w:rPr>
                <w:b/>
                <w:bCs/>
                <w:sz w:val="16"/>
                <w:szCs w:val="16"/>
              </w:rPr>
              <w:t>Decision</w:t>
            </w:r>
          </w:p>
        </w:tc>
      </w:tr>
      <w:tr w:rsidR="00EB30D6" w14:paraId="5AB869F5" w14:textId="77777777" w:rsidTr="00E13005">
        <w:trPr>
          <w:jc w:val="center"/>
        </w:trPr>
        <w:tc>
          <w:tcPr>
            <w:tcW w:w="2160" w:type="dxa"/>
            <w:vAlign w:val="center"/>
          </w:tcPr>
          <w:p w14:paraId="7CEB308B" w14:textId="77777777" w:rsidR="00EB30D6" w:rsidRDefault="00EB30D6" w:rsidP="00E13005">
            <w:pPr>
              <w:spacing w:before="20" w:after="20"/>
              <w:jc w:val="center"/>
            </w:pPr>
            <w:r>
              <w:rPr>
                <w:sz w:val="16"/>
                <w:szCs w:val="16"/>
              </w:rPr>
              <w:t>Net Profit Margin</w:t>
            </w:r>
          </w:p>
        </w:tc>
        <w:tc>
          <w:tcPr>
            <w:tcW w:w="1296" w:type="dxa"/>
            <w:vAlign w:val="center"/>
          </w:tcPr>
          <w:p w14:paraId="65B24A51" w14:textId="77777777" w:rsidR="00EB30D6" w:rsidRDefault="00EB30D6" w:rsidP="00E13005">
            <w:pPr>
              <w:spacing w:before="20" w:after="20"/>
              <w:jc w:val="center"/>
            </w:pPr>
            <w:r>
              <w:rPr>
                <w:sz w:val="16"/>
                <w:szCs w:val="16"/>
              </w:rPr>
              <w:t>5.86</w:t>
            </w:r>
          </w:p>
        </w:tc>
        <w:tc>
          <w:tcPr>
            <w:tcW w:w="1152" w:type="dxa"/>
            <w:vAlign w:val="center"/>
          </w:tcPr>
          <w:p w14:paraId="03D9EF27" w14:textId="77777777" w:rsidR="00EB30D6" w:rsidRDefault="00EB30D6" w:rsidP="00E13005">
            <w:pPr>
              <w:spacing w:before="20" w:after="20"/>
              <w:jc w:val="center"/>
            </w:pPr>
            <w:r>
              <w:rPr>
                <w:sz w:val="16"/>
                <w:szCs w:val="16"/>
              </w:rPr>
              <w:t>Removed</w:t>
            </w:r>
          </w:p>
        </w:tc>
      </w:tr>
      <w:tr w:rsidR="00EB30D6" w14:paraId="66ECFF1F" w14:textId="77777777" w:rsidTr="00E13005">
        <w:trPr>
          <w:jc w:val="center"/>
        </w:trPr>
        <w:tc>
          <w:tcPr>
            <w:tcW w:w="2160" w:type="dxa"/>
            <w:vAlign w:val="center"/>
          </w:tcPr>
          <w:p w14:paraId="6FC5BE15" w14:textId="77777777" w:rsidR="00EB30D6" w:rsidRDefault="00EB30D6" w:rsidP="00E13005">
            <w:pPr>
              <w:spacing w:before="20" w:after="20"/>
              <w:jc w:val="center"/>
            </w:pPr>
            <w:r>
              <w:rPr>
                <w:sz w:val="16"/>
                <w:szCs w:val="16"/>
              </w:rPr>
              <w:t>ΔROA (QoQ)</w:t>
            </w:r>
          </w:p>
        </w:tc>
        <w:tc>
          <w:tcPr>
            <w:tcW w:w="1296" w:type="dxa"/>
            <w:vAlign w:val="center"/>
          </w:tcPr>
          <w:p w14:paraId="101A22EB" w14:textId="77777777" w:rsidR="00EB30D6" w:rsidRDefault="00EB30D6" w:rsidP="00E13005">
            <w:pPr>
              <w:spacing w:before="20" w:after="20"/>
              <w:jc w:val="center"/>
            </w:pPr>
            <w:r>
              <w:rPr>
                <w:sz w:val="16"/>
                <w:szCs w:val="16"/>
              </w:rPr>
              <w:t>5.11</w:t>
            </w:r>
          </w:p>
        </w:tc>
        <w:tc>
          <w:tcPr>
            <w:tcW w:w="1152" w:type="dxa"/>
            <w:vAlign w:val="center"/>
          </w:tcPr>
          <w:p w14:paraId="55BA4B71" w14:textId="77777777" w:rsidR="00EB30D6" w:rsidRDefault="00EB30D6" w:rsidP="00E13005">
            <w:pPr>
              <w:spacing w:before="20" w:after="20"/>
              <w:jc w:val="center"/>
            </w:pPr>
            <w:r>
              <w:rPr>
                <w:sz w:val="16"/>
                <w:szCs w:val="16"/>
              </w:rPr>
              <w:t>Removed</w:t>
            </w:r>
          </w:p>
        </w:tc>
      </w:tr>
      <w:tr w:rsidR="00A1659C" w14:paraId="3B1540D8" w14:textId="77777777" w:rsidTr="00E13005">
        <w:trPr>
          <w:jc w:val="center"/>
        </w:trPr>
        <w:tc>
          <w:tcPr>
            <w:tcW w:w="2160" w:type="dxa"/>
            <w:vAlign w:val="center"/>
          </w:tcPr>
          <w:p w14:paraId="6FDB811D" w14:textId="0B6B07DE" w:rsidR="00A1659C" w:rsidRDefault="00A1659C" w:rsidP="00E13005">
            <w:pPr>
              <w:spacing w:before="20" w:after="20"/>
              <w:jc w:val="center"/>
              <w:rPr>
                <w:sz w:val="16"/>
                <w:szCs w:val="16"/>
              </w:rPr>
            </w:pPr>
            <w:r>
              <w:rPr>
                <w:sz w:val="16"/>
                <w:szCs w:val="16"/>
              </w:rPr>
              <w:t>ΔNet Margin</w:t>
            </w:r>
          </w:p>
        </w:tc>
        <w:tc>
          <w:tcPr>
            <w:tcW w:w="1296" w:type="dxa"/>
            <w:vAlign w:val="center"/>
          </w:tcPr>
          <w:p w14:paraId="52F5166B" w14:textId="343CC666" w:rsidR="00A1659C" w:rsidRDefault="00A1659C" w:rsidP="00E13005">
            <w:pPr>
              <w:spacing w:before="20" w:after="20"/>
              <w:jc w:val="center"/>
              <w:rPr>
                <w:sz w:val="16"/>
                <w:szCs w:val="16"/>
              </w:rPr>
            </w:pPr>
            <w:r>
              <w:rPr>
                <w:sz w:val="16"/>
                <w:szCs w:val="16"/>
              </w:rPr>
              <w:t>4.78</w:t>
            </w:r>
          </w:p>
        </w:tc>
        <w:tc>
          <w:tcPr>
            <w:tcW w:w="1152" w:type="dxa"/>
            <w:vAlign w:val="center"/>
          </w:tcPr>
          <w:p w14:paraId="1F69DB78" w14:textId="1F0DF7E4" w:rsidR="00A1659C" w:rsidRDefault="00A1659C" w:rsidP="00E13005">
            <w:pPr>
              <w:spacing w:before="20" w:after="20"/>
              <w:jc w:val="center"/>
              <w:rPr>
                <w:sz w:val="16"/>
                <w:szCs w:val="16"/>
              </w:rPr>
            </w:pPr>
            <w:r>
              <w:rPr>
                <w:sz w:val="16"/>
                <w:szCs w:val="16"/>
              </w:rPr>
              <w:t>Retained</w:t>
            </w:r>
          </w:p>
        </w:tc>
      </w:tr>
      <w:tr w:rsidR="00EB30D6" w14:paraId="4D020DAA" w14:textId="77777777" w:rsidTr="00E13005">
        <w:trPr>
          <w:jc w:val="center"/>
        </w:trPr>
        <w:tc>
          <w:tcPr>
            <w:tcW w:w="2160" w:type="dxa"/>
            <w:vAlign w:val="center"/>
          </w:tcPr>
          <w:p w14:paraId="2D0436A2" w14:textId="77777777" w:rsidR="00EB30D6" w:rsidRDefault="00EB30D6" w:rsidP="00E13005">
            <w:pPr>
              <w:spacing w:before="20" w:after="20"/>
              <w:jc w:val="center"/>
            </w:pPr>
            <w:r>
              <w:rPr>
                <w:sz w:val="16"/>
                <w:szCs w:val="16"/>
              </w:rPr>
              <w:t>ROA</w:t>
            </w:r>
          </w:p>
        </w:tc>
        <w:tc>
          <w:tcPr>
            <w:tcW w:w="1296" w:type="dxa"/>
            <w:vAlign w:val="center"/>
          </w:tcPr>
          <w:p w14:paraId="15B0ADAF" w14:textId="77777777" w:rsidR="00EB30D6" w:rsidRDefault="00EB30D6" w:rsidP="00E13005">
            <w:pPr>
              <w:spacing w:before="20" w:after="20"/>
              <w:jc w:val="center"/>
            </w:pPr>
            <w:r>
              <w:rPr>
                <w:sz w:val="16"/>
                <w:szCs w:val="16"/>
              </w:rPr>
              <w:t>4.52</w:t>
            </w:r>
          </w:p>
        </w:tc>
        <w:tc>
          <w:tcPr>
            <w:tcW w:w="1152" w:type="dxa"/>
            <w:vAlign w:val="center"/>
          </w:tcPr>
          <w:p w14:paraId="3603DB55" w14:textId="77777777" w:rsidR="00EB30D6" w:rsidRDefault="00EB30D6" w:rsidP="00E13005">
            <w:pPr>
              <w:spacing w:before="20" w:after="20"/>
              <w:jc w:val="center"/>
            </w:pPr>
            <w:r>
              <w:rPr>
                <w:sz w:val="16"/>
                <w:szCs w:val="16"/>
              </w:rPr>
              <w:t>Removed</w:t>
            </w:r>
          </w:p>
        </w:tc>
      </w:tr>
      <w:tr w:rsidR="00A1659C" w14:paraId="33619898" w14:textId="77777777" w:rsidTr="00E13005">
        <w:trPr>
          <w:jc w:val="center"/>
        </w:trPr>
        <w:tc>
          <w:tcPr>
            <w:tcW w:w="2160" w:type="dxa"/>
            <w:vAlign w:val="center"/>
          </w:tcPr>
          <w:p w14:paraId="66685E1B" w14:textId="5BD7F0B4" w:rsidR="00A1659C" w:rsidRDefault="00A1659C" w:rsidP="00E13005">
            <w:pPr>
              <w:spacing w:before="20" w:after="20"/>
              <w:jc w:val="center"/>
              <w:rPr>
                <w:sz w:val="16"/>
                <w:szCs w:val="16"/>
              </w:rPr>
            </w:pPr>
            <w:r>
              <w:rPr>
                <w:sz w:val="16"/>
                <w:szCs w:val="16"/>
              </w:rPr>
              <w:t>Operating Margin</w:t>
            </w:r>
          </w:p>
        </w:tc>
        <w:tc>
          <w:tcPr>
            <w:tcW w:w="1296" w:type="dxa"/>
            <w:vAlign w:val="center"/>
          </w:tcPr>
          <w:p w14:paraId="4CEF1BD5" w14:textId="5CB3B4EF" w:rsidR="00A1659C" w:rsidRDefault="00A1659C" w:rsidP="00E13005">
            <w:pPr>
              <w:spacing w:before="20" w:after="20"/>
              <w:jc w:val="center"/>
              <w:rPr>
                <w:sz w:val="16"/>
                <w:szCs w:val="16"/>
              </w:rPr>
            </w:pPr>
            <w:r>
              <w:rPr>
                <w:sz w:val="16"/>
                <w:szCs w:val="16"/>
              </w:rPr>
              <w:t>3.81</w:t>
            </w:r>
          </w:p>
        </w:tc>
        <w:tc>
          <w:tcPr>
            <w:tcW w:w="1152" w:type="dxa"/>
            <w:vAlign w:val="center"/>
          </w:tcPr>
          <w:p w14:paraId="0C0B950C" w14:textId="593054BF" w:rsidR="00A1659C" w:rsidRDefault="00A1659C" w:rsidP="00E13005">
            <w:pPr>
              <w:spacing w:before="20" w:after="20"/>
              <w:jc w:val="center"/>
              <w:rPr>
                <w:sz w:val="16"/>
                <w:szCs w:val="16"/>
              </w:rPr>
            </w:pPr>
            <w:r>
              <w:rPr>
                <w:sz w:val="16"/>
                <w:szCs w:val="16"/>
              </w:rPr>
              <w:t>Retained</w:t>
            </w:r>
          </w:p>
        </w:tc>
      </w:tr>
      <w:tr w:rsidR="00C26705" w14:paraId="5F941478" w14:textId="77777777" w:rsidTr="00E13005">
        <w:trPr>
          <w:jc w:val="center"/>
        </w:trPr>
        <w:tc>
          <w:tcPr>
            <w:tcW w:w="2160" w:type="dxa"/>
            <w:vAlign w:val="center"/>
          </w:tcPr>
          <w:p w14:paraId="62D31F07" w14:textId="02CBBD09" w:rsidR="00C26705" w:rsidRDefault="00C26705" w:rsidP="00E13005">
            <w:pPr>
              <w:spacing w:before="20" w:after="20"/>
              <w:jc w:val="center"/>
            </w:pPr>
            <w:r>
              <w:rPr>
                <w:sz w:val="16"/>
                <w:szCs w:val="16"/>
              </w:rPr>
              <w:t>ΔOp</w:t>
            </w:r>
            <w:r w:rsidR="00A1659C">
              <w:rPr>
                <w:sz w:val="16"/>
                <w:szCs w:val="16"/>
              </w:rPr>
              <w:t>erating</w:t>
            </w:r>
            <w:r>
              <w:rPr>
                <w:sz w:val="16"/>
                <w:szCs w:val="16"/>
              </w:rPr>
              <w:t xml:space="preserve"> Margin</w:t>
            </w:r>
          </w:p>
        </w:tc>
        <w:tc>
          <w:tcPr>
            <w:tcW w:w="1296" w:type="dxa"/>
            <w:vAlign w:val="center"/>
          </w:tcPr>
          <w:p w14:paraId="585A3B70" w14:textId="49E28651" w:rsidR="00C26705" w:rsidRDefault="00C26705" w:rsidP="00E13005">
            <w:pPr>
              <w:spacing w:before="20" w:after="20"/>
              <w:jc w:val="center"/>
            </w:pPr>
            <w:r>
              <w:rPr>
                <w:sz w:val="16"/>
                <w:szCs w:val="16"/>
              </w:rPr>
              <w:t>3.68</w:t>
            </w:r>
          </w:p>
        </w:tc>
        <w:tc>
          <w:tcPr>
            <w:tcW w:w="1152" w:type="dxa"/>
            <w:vAlign w:val="center"/>
          </w:tcPr>
          <w:p w14:paraId="18A7271C" w14:textId="63653728" w:rsidR="00C26705" w:rsidRDefault="00C26705" w:rsidP="00E13005">
            <w:pPr>
              <w:spacing w:before="20" w:after="20"/>
              <w:jc w:val="center"/>
            </w:pPr>
            <w:r>
              <w:rPr>
                <w:sz w:val="16"/>
                <w:szCs w:val="16"/>
              </w:rPr>
              <w:t>Removed</w:t>
            </w:r>
          </w:p>
        </w:tc>
      </w:tr>
      <w:tr w:rsidR="00C26705" w14:paraId="04B3980B" w14:textId="77777777" w:rsidTr="00E13005">
        <w:trPr>
          <w:jc w:val="center"/>
        </w:trPr>
        <w:tc>
          <w:tcPr>
            <w:tcW w:w="2160" w:type="dxa"/>
            <w:vAlign w:val="center"/>
          </w:tcPr>
          <w:p w14:paraId="4EE21B61" w14:textId="0CF973F3" w:rsidR="00C26705" w:rsidRDefault="00C26705" w:rsidP="00E13005">
            <w:pPr>
              <w:spacing w:before="20" w:after="20"/>
              <w:jc w:val="center"/>
            </w:pPr>
            <w:r>
              <w:rPr>
                <w:sz w:val="16"/>
                <w:szCs w:val="16"/>
              </w:rPr>
              <w:t>ROE</w:t>
            </w:r>
          </w:p>
        </w:tc>
        <w:tc>
          <w:tcPr>
            <w:tcW w:w="1296" w:type="dxa"/>
            <w:vAlign w:val="center"/>
          </w:tcPr>
          <w:p w14:paraId="534145A2" w14:textId="6F421890" w:rsidR="00C26705" w:rsidRDefault="00C26705" w:rsidP="00E13005">
            <w:pPr>
              <w:spacing w:before="20" w:after="20"/>
              <w:jc w:val="center"/>
            </w:pPr>
            <w:r>
              <w:rPr>
                <w:sz w:val="16"/>
                <w:szCs w:val="16"/>
              </w:rPr>
              <w:t>2.59</w:t>
            </w:r>
          </w:p>
        </w:tc>
        <w:tc>
          <w:tcPr>
            <w:tcW w:w="1152" w:type="dxa"/>
            <w:vAlign w:val="center"/>
          </w:tcPr>
          <w:p w14:paraId="0A193930" w14:textId="278192E9" w:rsidR="00C26705" w:rsidRDefault="00C26705" w:rsidP="00E13005">
            <w:pPr>
              <w:spacing w:before="20" w:after="20"/>
              <w:jc w:val="center"/>
            </w:pPr>
            <w:r>
              <w:rPr>
                <w:sz w:val="16"/>
                <w:szCs w:val="16"/>
              </w:rPr>
              <w:t>Retained</w:t>
            </w:r>
          </w:p>
        </w:tc>
      </w:tr>
      <w:tr w:rsidR="00C26705" w14:paraId="366D1483" w14:textId="77777777" w:rsidTr="00E13005">
        <w:trPr>
          <w:jc w:val="center"/>
        </w:trPr>
        <w:tc>
          <w:tcPr>
            <w:tcW w:w="2160" w:type="dxa"/>
            <w:vAlign w:val="center"/>
          </w:tcPr>
          <w:p w14:paraId="78DC9AE9" w14:textId="2C8D6E70" w:rsidR="00C26705" w:rsidRDefault="00C26705" w:rsidP="00E13005">
            <w:pPr>
              <w:spacing w:before="20" w:after="20"/>
              <w:jc w:val="center"/>
            </w:pPr>
            <w:r>
              <w:rPr>
                <w:sz w:val="16"/>
                <w:szCs w:val="16"/>
              </w:rPr>
              <w:t>ΔGross Margin</w:t>
            </w:r>
          </w:p>
        </w:tc>
        <w:tc>
          <w:tcPr>
            <w:tcW w:w="1296" w:type="dxa"/>
            <w:vAlign w:val="center"/>
          </w:tcPr>
          <w:p w14:paraId="422FD056" w14:textId="5080383E" w:rsidR="00C26705" w:rsidRDefault="00C26705" w:rsidP="00E13005">
            <w:pPr>
              <w:spacing w:before="20" w:after="20"/>
              <w:jc w:val="center"/>
            </w:pPr>
            <w:r>
              <w:rPr>
                <w:sz w:val="16"/>
                <w:szCs w:val="16"/>
              </w:rPr>
              <w:t>2.62</w:t>
            </w:r>
          </w:p>
        </w:tc>
        <w:tc>
          <w:tcPr>
            <w:tcW w:w="1152" w:type="dxa"/>
            <w:vAlign w:val="center"/>
          </w:tcPr>
          <w:p w14:paraId="3F58381A" w14:textId="62B55F9E" w:rsidR="00C26705" w:rsidRDefault="00C26705" w:rsidP="00E13005">
            <w:pPr>
              <w:spacing w:before="20" w:after="20"/>
              <w:jc w:val="center"/>
            </w:pPr>
            <w:r>
              <w:rPr>
                <w:sz w:val="16"/>
                <w:szCs w:val="16"/>
              </w:rPr>
              <w:t>Retained</w:t>
            </w:r>
          </w:p>
        </w:tc>
      </w:tr>
      <w:tr w:rsidR="00A1659C" w14:paraId="1576724A" w14:textId="77777777" w:rsidTr="00E13005">
        <w:trPr>
          <w:jc w:val="center"/>
        </w:trPr>
        <w:tc>
          <w:tcPr>
            <w:tcW w:w="2160" w:type="dxa"/>
            <w:vAlign w:val="center"/>
          </w:tcPr>
          <w:p w14:paraId="33B45904" w14:textId="7B87FAC0" w:rsidR="00A1659C" w:rsidRDefault="00A1659C" w:rsidP="00E13005">
            <w:pPr>
              <w:spacing w:before="20" w:after="20"/>
              <w:jc w:val="center"/>
              <w:rPr>
                <w:sz w:val="16"/>
                <w:szCs w:val="16"/>
              </w:rPr>
            </w:pPr>
            <w:r>
              <w:rPr>
                <w:sz w:val="16"/>
                <w:szCs w:val="16"/>
              </w:rPr>
              <w:t>Return on Equity</w:t>
            </w:r>
          </w:p>
        </w:tc>
        <w:tc>
          <w:tcPr>
            <w:tcW w:w="1296" w:type="dxa"/>
            <w:vAlign w:val="center"/>
          </w:tcPr>
          <w:p w14:paraId="28C7BDA7" w14:textId="53C48194" w:rsidR="00A1659C" w:rsidRDefault="00A1659C" w:rsidP="00E13005">
            <w:pPr>
              <w:spacing w:before="20" w:after="20"/>
              <w:jc w:val="center"/>
              <w:rPr>
                <w:sz w:val="16"/>
                <w:szCs w:val="16"/>
              </w:rPr>
            </w:pPr>
            <w:r>
              <w:rPr>
                <w:sz w:val="16"/>
                <w:szCs w:val="16"/>
              </w:rPr>
              <w:t>2.59</w:t>
            </w:r>
          </w:p>
        </w:tc>
        <w:tc>
          <w:tcPr>
            <w:tcW w:w="1152" w:type="dxa"/>
            <w:vAlign w:val="center"/>
          </w:tcPr>
          <w:p w14:paraId="11C38949" w14:textId="19AD39E4" w:rsidR="00A1659C" w:rsidRDefault="00A1659C" w:rsidP="00E13005">
            <w:pPr>
              <w:spacing w:before="20" w:after="20"/>
              <w:jc w:val="center"/>
              <w:rPr>
                <w:sz w:val="16"/>
                <w:szCs w:val="16"/>
              </w:rPr>
            </w:pPr>
            <w:r>
              <w:rPr>
                <w:sz w:val="16"/>
                <w:szCs w:val="16"/>
              </w:rPr>
              <w:t>Retained</w:t>
            </w:r>
          </w:p>
        </w:tc>
      </w:tr>
      <w:tr w:rsidR="00C26705" w14:paraId="64238FB7" w14:textId="77777777" w:rsidTr="00E13005">
        <w:trPr>
          <w:jc w:val="center"/>
        </w:trPr>
        <w:tc>
          <w:tcPr>
            <w:tcW w:w="2160" w:type="dxa"/>
            <w:vAlign w:val="center"/>
          </w:tcPr>
          <w:p w14:paraId="11B8C1FB" w14:textId="2EC6D71D" w:rsidR="00C26705" w:rsidRDefault="00C26705" w:rsidP="00E13005">
            <w:pPr>
              <w:spacing w:before="20" w:after="20"/>
              <w:jc w:val="center"/>
            </w:pPr>
            <w:r>
              <w:rPr>
                <w:sz w:val="16"/>
                <w:szCs w:val="16"/>
              </w:rPr>
              <w:t>Revenue Growth</w:t>
            </w:r>
          </w:p>
        </w:tc>
        <w:tc>
          <w:tcPr>
            <w:tcW w:w="1296" w:type="dxa"/>
            <w:vAlign w:val="center"/>
          </w:tcPr>
          <w:p w14:paraId="77F66C3C" w14:textId="6C895A17" w:rsidR="00C26705" w:rsidRDefault="00C26705" w:rsidP="00E13005">
            <w:pPr>
              <w:spacing w:before="20" w:after="20"/>
              <w:jc w:val="center"/>
            </w:pPr>
            <w:r>
              <w:rPr>
                <w:sz w:val="16"/>
                <w:szCs w:val="16"/>
              </w:rPr>
              <w:t>2.49</w:t>
            </w:r>
          </w:p>
        </w:tc>
        <w:tc>
          <w:tcPr>
            <w:tcW w:w="1152" w:type="dxa"/>
            <w:vAlign w:val="center"/>
          </w:tcPr>
          <w:p w14:paraId="43A32086" w14:textId="22EA5ACF" w:rsidR="00C26705" w:rsidRDefault="00C26705" w:rsidP="00E13005">
            <w:pPr>
              <w:spacing w:before="20" w:after="20"/>
              <w:jc w:val="center"/>
            </w:pPr>
            <w:r>
              <w:rPr>
                <w:sz w:val="16"/>
                <w:szCs w:val="16"/>
              </w:rPr>
              <w:t>Retained</w:t>
            </w:r>
          </w:p>
        </w:tc>
      </w:tr>
      <w:tr w:rsidR="00C26705" w14:paraId="24E0A230" w14:textId="77777777" w:rsidTr="00E13005">
        <w:trPr>
          <w:jc w:val="center"/>
        </w:trPr>
        <w:tc>
          <w:tcPr>
            <w:tcW w:w="2160" w:type="dxa"/>
            <w:vAlign w:val="center"/>
          </w:tcPr>
          <w:p w14:paraId="434D53EB" w14:textId="0EE49CD4" w:rsidR="00C26705" w:rsidRDefault="00C26705" w:rsidP="00E13005">
            <w:pPr>
              <w:spacing w:before="20" w:after="20"/>
              <w:jc w:val="center"/>
            </w:pPr>
            <w:r>
              <w:rPr>
                <w:sz w:val="16"/>
                <w:szCs w:val="16"/>
              </w:rPr>
              <w:t>Debt-to-Equity</w:t>
            </w:r>
          </w:p>
        </w:tc>
        <w:tc>
          <w:tcPr>
            <w:tcW w:w="1296" w:type="dxa"/>
            <w:vAlign w:val="center"/>
          </w:tcPr>
          <w:p w14:paraId="0899428E" w14:textId="72B5F0F1" w:rsidR="00C26705" w:rsidRDefault="00C26705" w:rsidP="00E13005">
            <w:pPr>
              <w:spacing w:before="20" w:after="20"/>
              <w:jc w:val="center"/>
            </w:pPr>
            <w:r>
              <w:rPr>
                <w:sz w:val="16"/>
                <w:szCs w:val="16"/>
              </w:rPr>
              <w:t>2.25</w:t>
            </w:r>
          </w:p>
        </w:tc>
        <w:tc>
          <w:tcPr>
            <w:tcW w:w="1152" w:type="dxa"/>
            <w:vAlign w:val="center"/>
          </w:tcPr>
          <w:p w14:paraId="7A9AEF70" w14:textId="354DE56B" w:rsidR="00C26705" w:rsidRDefault="00C26705" w:rsidP="00E13005">
            <w:pPr>
              <w:spacing w:before="20" w:after="20"/>
              <w:jc w:val="center"/>
            </w:pPr>
            <w:r>
              <w:rPr>
                <w:sz w:val="16"/>
                <w:szCs w:val="16"/>
              </w:rPr>
              <w:t>Retained</w:t>
            </w:r>
          </w:p>
        </w:tc>
      </w:tr>
      <w:tr w:rsidR="00C26705" w14:paraId="18FF4B0A" w14:textId="77777777" w:rsidTr="00E13005">
        <w:trPr>
          <w:jc w:val="center"/>
        </w:trPr>
        <w:tc>
          <w:tcPr>
            <w:tcW w:w="2160" w:type="dxa"/>
            <w:vAlign w:val="center"/>
          </w:tcPr>
          <w:p w14:paraId="58BAC0B6" w14:textId="74832943" w:rsidR="00C26705" w:rsidRDefault="00C26705" w:rsidP="00E13005">
            <w:pPr>
              <w:spacing w:before="20" w:after="20"/>
              <w:jc w:val="center"/>
            </w:pPr>
            <w:r>
              <w:rPr>
                <w:sz w:val="16"/>
                <w:szCs w:val="16"/>
              </w:rPr>
              <w:t>Operating Margin</w:t>
            </w:r>
          </w:p>
        </w:tc>
        <w:tc>
          <w:tcPr>
            <w:tcW w:w="1296" w:type="dxa"/>
            <w:vAlign w:val="center"/>
          </w:tcPr>
          <w:p w14:paraId="0F7FE594" w14:textId="43736DBB" w:rsidR="00C26705" w:rsidRDefault="00C26705" w:rsidP="00E13005">
            <w:pPr>
              <w:spacing w:before="20" w:after="20"/>
              <w:jc w:val="center"/>
            </w:pPr>
            <w:r>
              <w:rPr>
                <w:sz w:val="16"/>
                <w:szCs w:val="16"/>
              </w:rPr>
              <w:t>1.80</w:t>
            </w:r>
          </w:p>
        </w:tc>
        <w:tc>
          <w:tcPr>
            <w:tcW w:w="1152" w:type="dxa"/>
            <w:vAlign w:val="center"/>
          </w:tcPr>
          <w:p w14:paraId="389721FA" w14:textId="0A9BB114" w:rsidR="00C26705" w:rsidRDefault="00C26705" w:rsidP="00E13005">
            <w:pPr>
              <w:spacing w:before="20" w:after="20"/>
              <w:jc w:val="center"/>
            </w:pPr>
            <w:r>
              <w:rPr>
                <w:sz w:val="16"/>
                <w:szCs w:val="16"/>
              </w:rPr>
              <w:t>Retained</w:t>
            </w:r>
          </w:p>
        </w:tc>
      </w:tr>
    </w:tbl>
    <w:p w14:paraId="1C68DA50" w14:textId="77777777" w:rsidR="00EB30D6" w:rsidRDefault="00EB30D6" w:rsidP="000358F3">
      <w:pPr>
        <w:jc w:val="both"/>
      </w:pPr>
    </w:p>
    <w:p w14:paraId="266D2314" w14:textId="2E42D1D7" w:rsidR="00A1659C" w:rsidRPr="000358F3" w:rsidRDefault="00A1659C" w:rsidP="000358F3">
      <w:pPr>
        <w:jc w:val="both"/>
      </w:pPr>
      <w:r>
        <w:t xml:space="preserve">Table one highlights that initial VIF calculations may not actually lead to removal in subsequent iterations, as seen with </w:t>
      </w:r>
      <w:r w:rsidRPr="00A1659C">
        <w:t>ΔNet Margin</w:t>
      </w:r>
      <w:r>
        <w:t xml:space="preserve"> and Operating Margin.</w:t>
      </w:r>
    </w:p>
    <w:p w14:paraId="4509C26B" w14:textId="7688F463" w:rsidR="000358F3" w:rsidRDefault="000358F3" w:rsidP="000358F3">
      <w:pPr>
        <w:spacing w:before="120" w:after="120"/>
        <w:rPr>
          <w:i/>
          <w:iCs/>
        </w:rPr>
      </w:pPr>
      <w:r>
        <w:rPr>
          <w:i/>
          <w:iCs/>
        </w:rPr>
        <w:t>II. PCA Analysis Results</w:t>
      </w:r>
    </w:p>
    <w:p w14:paraId="130E1585" w14:textId="40654A0C" w:rsidR="00C26705" w:rsidRDefault="00C26705" w:rsidP="00C26705">
      <w:pPr>
        <w:jc w:val="both"/>
      </w:pPr>
      <w:r>
        <w:t xml:space="preserve">PCA is </w:t>
      </w:r>
      <w:r w:rsidR="00A1659C">
        <w:t xml:space="preserve">next </w:t>
      </w:r>
      <w:r>
        <w:t>applied to the 20 remaining features and results in 9 components - each of which explains at least 5% of total</w:t>
      </w:r>
      <w:r w:rsidR="00A1659C">
        <w:t xml:space="preserve"> system</w:t>
      </w:r>
      <w:r>
        <w:t xml:space="preserve"> variance. Collectively, all 9 components account for 70.7% of total data variance. Figure III presents the scree plot with the 5% retention threshold marked. Table II reports the variance explained by each retained component.</w:t>
      </w:r>
      <w:r w:rsidR="00536B16">
        <w:t xml:space="preserve"> An approximate elbow point is seen at PC3</w:t>
      </w:r>
      <w:r w:rsidR="002E1C82">
        <w:t xml:space="preserve">, but </w:t>
      </w:r>
      <w:r w:rsidR="00536B16">
        <w:t>components are maintained according to the 5% heuristic</w:t>
      </w:r>
      <w:r w:rsidR="002E1C82">
        <w:t>, and lack of distinct slope change for cumulative variance.</w:t>
      </w:r>
    </w:p>
    <w:p w14:paraId="05F03BAD" w14:textId="77777777" w:rsidR="00B74EFD" w:rsidRDefault="00B74EFD" w:rsidP="00C26705">
      <w:pPr>
        <w:jc w:val="both"/>
      </w:pPr>
    </w:p>
    <w:p w14:paraId="3BFAECC0" w14:textId="08D68AD3" w:rsidR="00B74EFD" w:rsidRPr="002E1C82" w:rsidRDefault="00C26705" w:rsidP="002E1C82">
      <w:pPr>
        <w:spacing w:before="120" w:after="40"/>
        <w:jc w:val="center"/>
      </w:pPr>
      <w:r>
        <w:rPr>
          <w:noProof/>
          <w:lang w:eastAsia="en-US"/>
        </w:rPr>
        <w:drawing>
          <wp:inline distT="0" distB="0" distL="0" distR="0" wp14:anchorId="7BC3B83C" wp14:editId="1E7FD075">
            <wp:extent cx="2926080" cy="1554719"/>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2926080" cy="1554719"/>
                    </a:xfrm>
                    <a:prstGeom prst="rect">
                      <a:avLst/>
                    </a:prstGeom>
                    <a:ln/>
                  </pic:spPr>
                </pic:pic>
              </a:graphicData>
            </a:graphic>
          </wp:inline>
        </w:drawing>
      </w:r>
    </w:p>
    <w:p w14:paraId="6C90F730" w14:textId="6C2E0176" w:rsidR="00C26705" w:rsidRPr="00EB30D6" w:rsidRDefault="00C26705" w:rsidP="00C26705">
      <w:pPr>
        <w:spacing w:before="40" w:after="20"/>
        <w:jc w:val="center"/>
      </w:pPr>
      <w:r>
        <w:rPr>
          <w:smallCaps/>
        </w:rPr>
        <w:t>Figure III</w:t>
      </w:r>
    </w:p>
    <w:p w14:paraId="1067CEAC" w14:textId="3D34D1B7" w:rsidR="00C26705" w:rsidRDefault="00C26705" w:rsidP="00C26705">
      <w:pPr>
        <w:jc w:val="center"/>
        <w:rPr>
          <w:sz w:val="16"/>
          <w:szCs w:val="16"/>
        </w:rPr>
      </w:pPr>
      <w:r>
        <w:rPr>
          <w:smallCaps/>
          <w:sz w:val="16"/>
          <w:szCs w:val="16"/>
          <w:lang w:eastAsia="en-US"/>
        </w:rPr>
        <w:t>PCA Scree Plot</w:t>
      </w:r>
    </w:p>
    <w:p w14:paraId="7051B073" w14:textId="472A3B62" w:rsidR="00C26705" w:rsidRDefault="00C26705" w:rsidP="00C26705">
      <w:pPr>
        <w:spacing w:before="120" w:after="20"/>
        <w:jc w:val="center"/>
      </w:pPr>
      <w:r>
        <w:rPr>
          <w:smallCaps/>
        </w:rPr>
        <w:t>TABLE II</w:t>
      </w:r>
      <w:r w:rsidRPr="00C26705">
        <w:rPr>
          <w:smallCaps/>
        </w:rPr>
        <w:t xml:space="preserve"> </w:t>
      </w:r>
    </w:p>
    <w:p w14:paraId="12524A95" w14:textId="7A03FD15" w:rsidR="00B74EFD" w:rsidRDefault="00C26705" w:rsidP="00B74EFD">
      <w:pPr>
        <w:jc w:val="center"/>
        <w:rPr>
          <w:smallCaps/>
          <w:sz w:val="16"/>
          <w:szCs w:val="16"/>
          <w:lang w:eastAsia="en-US"/>
        </w:rPr>
      </w:pPr>
      <w:r w:rsidRPr="00C26705">
        <w:rPr>
          <w:smallCaps/>
          <w:sz w:val="16"/>
          <w:szCs w:val="16"/>
          <w:lang w:eastAsia="en-US"/>
        </w:rPr>
        <w:t>Global Pooled Model PCA Component and Variance Percentage</w:t>
      </w:r>
    </w:p>
    <w:tbl>
      <w:tblPr>
        <w:tblW w:w="49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24"/>
        <w:gridCol w:w="2520"/>
        <w:gridCol w:w="1224"/>
      </w:tblGrid>
      <w:tr w:rsidR="00C26705" w14:paraId="5DD3B751" w14:textId="77777777" w:rsidTr="00E13005">
        <w:trPr>
          <w:jc w:val="center"/>
        </w:trPr>
        <w:tc>
          <w:tcPr>
            <w:tcW w:w="1224" w:type="dxa"/>
            <w:vAlign w:val="center"/>
          </w:tcPr>
          <w:p w14:paraId="184A8220" w14:textId="77777777" w:rsidR="00C26705" w:rsidRDefault="00C26705" w:rsidP="00E13005">
            <w:pPr>
              <w:spacing w:before="20" w:after="20"/>
              <w:jc w:val="center"/>
            </w:pPr>
            <w:r>
              <w:rPr>
                <w:b/>
                <w:bCs/>
                <w:sz w:val="16"/>
                <w:szCs w:val="16"/>
              </w:rPr>
              <w:t>Component</w:t>
            </w:r>
          </w:p>
        </w:tc>
        <w:tc>
          <w:tcPr>
            <w:tcW w:w="2520" w:type="dxa"/>
            <w:vAlign w:val="center"/>
          </w:tcPr>
          <w:p w14:paraId="7D6EC217" w14:textId="77777777" w:rsidR="00C26705" w:rsidRDefault="00C26705" w:rsidP="00E13005">
            <w:pPr>
              <w:spacing w:before="20" w:after="20"/>
              <w:jc w:val="center"/>
            </w:pPr>
            <w:r>
              <w:rPr>
                <w:b/>
                <w:bCs/>
                <w:sz w:val="16"/>
                <w:szCs w:val="16"/>
              </w:rPr>
              <w:t>Dominant Theme</w:t>
            </w:r>
          </w:p>
        </w:tc>
        <w:tc>
          <w:tcPr>
            <w:tcW w:w="1224" w:type="dxa"/>
            <w:vAlign w:val="center"/>
          </w:tcPr>
          <w:p w14:paraId="1D18DC9A" w14:textId="77777777" w:rsidR="00C26705" w:rsidRDefault="00C26705" w:rsidP="00E13005">
            <w:pPr>
              <w:spacing w:before="20" w:after="20"/>
              <w:jc w:val="center"/>
            </w:pPr>
            <w:r>
              <w:rPr>
                <w:b/>
                <w:bCs/>
                <w:sz w:val="16"/>
                <w:szCs w:val="16"/>
              </w:rPr>
              <w:t>Variance (%)</w:t>
            </w:r>
          </w:p>
        </w:tc>
      </w:tr>
      <w:tr w:rsidR="00C26705" w14:paraId="0385FD10" w14:textId="77777777" w:rsidTr="00E13005">
        <w:trPr>
          <w:jc w:val="center"/>
        </w:trPr>
        <w:tc>
          <w:tcPr>
            <w:tcW w:w="1224" w:type="dxa"/>
            <w:vAlign w:val="center"/>
          </w:tcPr>
          <w:p w14:paraId="1E2C812F" w14:textId="77777777" w:rsidR="00C26705" w:rsidRDefault="00C26705" w:rsidP="00E13005">
            <w:pPr>
              <w:spacing w:before="20" w:after="20"/>
              <w:jc w:val="center"/>
            </w:pPr>
            <w:r>
              <w:rPr>
                <w:sz w:val="16"/>
                <w:szCs w:val="16"/>
              </w:rPr>
              <w:t>PC1</w:t>
            </w:r>
          </w:p>
        </w:tc>
        <w:tc>
          <w:tcPr>
            <w:tcW w:w="2520" w:type="dxa"/>
            <w:vAlign w:val="center"/>
          </w:tcPr>
          <w:p w14:paraId="2C64AAFD" w14:textId="77777777" w:rsidR="00C26705" w:rsidRDefault="00C26705" w:rsidP="00E13005">
            <w:pPr>
              <w:spacing w:before="20" w:after="20"/>
              <w:jc w:val="center"/>
            </w:pPr>
            <w:r>
              <w:rPr>
                <w:sz w:val="16"/>
                <w:szCs w:val="16"/>
              </w:rPr>
              <w:t>Profitability (margins, ROE)</w:t>
            </w:r>
          </w:p>
        </w:tc>
        <w:tc>
          <w:tcPr>
            <w:tcW w:w="1224" w:type="dxa"/>
            <w:vAlign w:val="center"/>
          </w:tcPr>
          <w:p w14:paraId="2D006741" w14:textId="77777777" w:rsidR="00C26705" w:rsidRDefault="00C26705" w:rsidP="00E13005">
            <w:pPr>
              <w:spacing w:before="20" w:after="20"/>
              <w:jc w:val="center"/>
            </w:pPr>
            <w:r>
              <w:rPr>
                <w:sz w:val="16"/>
                <w:szCs w:val="16"/>
              </w:rPr>
              <w:t>12.7</w:t>
            </w:r>
          </w:p>
        </w:tc>
      </w:tr>
      <w:tr w:rsidR="00C26705" w14:paraId="76FC68D5" w14:textId="77777777" w:rsidTr="00E13005">
        <w:trPr>
          <w:jc w:val="center"/>
        </w:trPr>
        <w:tc>
          <w:tcPr>
            <w:tcW w:w="1224" w:type="dxa"/>
            <w:vAlign w:val="center"/>
          </w:tcPr>
          <w:p w14:paraId="4649F720" w14:textId="77777777" w:rsidR="00C26705" w:rsidRDefault="00C26705" w:rsidP="00E13005">
            <w:pPr>
              <w:spacing w:before="20" w:after="20"/>
              <w:jc w:val="center"/>
            </w:pPr>
            <w:r>
              <w:rPr>
                <w:sz w:val="16"/>
                <w:szCs w:val="16"/>
              </w:rPr>
              <w:t>PC2</w:t>
            </w:r>
          </w:p>
        </w:tc>
        <w:tc>
          <w:tcPr>
            <w:tcW w:w="2520" w:type="dxa"/>
            <w:vAlign w:val="center"/>
          </w:tcPr>
          <w:p w14:paraId="1E9A55D4" w14:textId="77777777" w:rsidR="00C26705" w:rsidRDefault="00C26705" w:rsidP="00E13005">
            <w:pPr>
              <w:spacing w:before="20" w:after="20"/>
              <w:jc w:val="center"/>
            </w:pPr>
            <w:r>
              <w:rPr>
                <w:sz w:val="16"/>
                <w:szCs w:val="16"/>
              </w:rPr>
              <w:t>Leverage &amp; Liquidity</w:t>
            </w:r>
          </w:p>
        </w:tc>
        <w:tc>
          <w:tcPr>
            <w:tcW w:w="1224" w:type="dxa"/>
            <w:vAlign w:val="center"/>
          </w:tcPr>
          <w:p w14:paraId="21DB5945" w14:textId="77777777" w:rsidR="00C26705" w:rsidRDefault="00C26705" w:rsidP="00E13005">
            <w:pPr>
              <w:spacing w:before="20" w:after="20"/>
              <w:jc w:val="center"/>
            </w:pPr>
            <w:r>
              <w:rPr>
                <w:sz w:val="16"/>
                <w:szCs w:val="16"/>
              </w:rPr>
              <w:t>10.3</w:t>
            </w:r>
          </w:p>
        </w:tc>
      </w:tr>
      <w:tr w:rsidR="00C26705" w14:paraId="202461DE" w14:textId="77777777" w:rsidTr="00E13005">
        <w:trPr>
          <w:jc w:val="center"/>
        </w:trPr>
        <w:tc>
          <w:tcPr>
            <w:tcW w:w="1224" w:type="dxa"/>
            <w:vAlign w:val="center"/>
          </w:tcPr>
          <w:p w14:paraId="4C4E9922" w14:textId="77777777" w:rsidR="00C26705" w:rsidRDefault="00C26705" w:rsidP="00E13005">
            <w:pPr>
              <w:spacing w:before="20" w:after="20"/>
              <w:jc w:val="center"/>
            </w:pPr>
            <w:r>
              <w:rPr>
                <w:sz w:val="16"/>
                <w:szCs w:val="16"/>
              </w:rPr>
              <w:t>PC3</w:t>
            </w:r>
          </w:p>
        </w:tc>
        <w:tc>
          <w:tcPr>
            <w:tcW w:w="2520" w:type="dxa"/>
            <w:vAlign w:val="center"/>
          </w:tcPr>
          <w:p w14:paraId="7E557A99" w14:textId="77777777" w:rsidR="00C26705" w:rsidRDefault="00C26705" w:rsidP="00E13005">
            <w:pPr>
              <w:spacing w:before="20" w:after="20"/>
              <w:jc w:val="center"/>
            </w:pPr>
            <w:r>
              <w:rPr>
                <w:sz w:val="16"/>
                <w:szCs w:val="16"/>
              </w:rPr>
              <w:t>Revenue Momentum</w:t>
            </w:r>
          </w:p>
        </w:tc>
        <w:tc>
          <w:tcPr>
            <w:tcW w:w="1224" w:type="dxa"/>
            <w:vAlign w:val="center"/>
          </w:tcPr>
          <w:p w14:paraId="304D4A33" w14:textId="77777777" w:rsidR="00C26705" w:rsidRDefault="00C26705" w:rsidP="00E13005">
            <w:pPr>
              <w:spacing w:before="20" w:after="20"/>
              <w:jc w:val="center"/>
            </w:pPr>
            <w:r>
              <w:rPr>
                <w:sz w:val="16"/>
                <w:szCs w:val="16"/>
              </w:rPr>
              <w:t>9.3</w:t>
            </w:r>
          </w:p>
        </w:tc>
      </w:tr>
      <w:tr w:rsidR="00C26705" w14:paraId="101DA0D3" w14:textId="77777777" w:rsidTr="00E13005">
        <w:trPr>
          <w:jc w:val="center"/>
        </w:trPr>
        <w:tc>
          <w:tcPr>
            <w:tcW w:w="1224" w:type="dxa"/>
            <w:vAlign w:val="center"/>
          </w:tcPr>
          <w:p w14:paraId="2ECB453C" w14:textId="77777777" w:rsidR="00C26705" w:rsidRDefault="00C26705" w:rsidP="00E13005">
            <w:pPr>
              <w:spacing w:before="20" w:after="20"/>
              <w:jc w:val="center"/>
            </w:pPr>
            <w:r>
              <w:rPr>
                <w:sz w:val="16"/>
                <w:szCs w:val="16"/>
              </w:rPr>
              <w:t>PC4</w:t>
            </w:r>
          </w:p>
        </w:tc>
        <w:tc>
          <w:tcPr>
            <w:tcW w:w="2520" w:type="dxa"/>
            <w:vAlign w:val="center"/>
          </w:tcPr>
          <w:p w14:paraId="472BE27E" w14:textId="77777777" w:rsidR="00C26705" w:rsidRDefault="00C26705" w:rsidP="00E13005">
            <w:pPr>
              <w:spacing w:before="20" w:after="20"/>
              <w:jc w:val="center"/>
            </w:pPr>
            <w:r>
              <w:rPr>
                <w:sz w:val="16"/>
                <w:szCs w:val="16"/>
              </w:rPr>
              <w:t>Valuation (P/E, B/M)</w:t>
            </w:r>
          </w:p>
        </w:tc>
        <w:tc>
          <w:tcPr>
            <w:tcW w:w="1224" w:type="dxa"/>
            <w:vAlign w:val="center"/>
          </w:tcPr>
          <w:p w14:paraId="799CD17D" w14:textId="77777777" w:rsidR="00C26705" w:rsidRDefault="00C26705" w:rsidP="00E13005">
            <w:pPr>
              <w:spacing w:before="20" w:after="20"/>
              <w:jc w:val="center"/>
            </w:pPr>
            <w:r>
              <w:rPr>
                <w:sz w:val="16"/>
                <w:szCs w:val="16"/>
              </w:rPr>
              <w:t>7.9</w:t>
            </w:r>
          </w:p>
        </w:tc>
      </w:tr>
      <w:tr w:rsidR="00C26705" w14:paraId="2376F3C7" w14:textId="77777777" w:rsidTr="00E13005">
        <w:trPr>
          <w:jc w:val="center"/>
        </w:trPr>
        <w:tc>
          <w:tcPr>
            <w:tcW w:w="1224" w:type="dxa"/>
            <w:vAlign w:val="center"/>
          </w:tcPr>
          <w:p w14:paraId="5BAF6E3B" w14:textId="77777777" w:rsidR="00C26705" w:rsidRDefault="00C26705" w:rsidP="00E13005">
            <w:pPr>
              <w:spacing w:before="20" w:after="20"/>
              <w:jc w:val="center"/>
            </w:pPr>
            <w:r>
              <w:rPr>
                <w:sz w:val="16"/>
                <w:szCs w:val="16"/>
              </w:rPr>
              <w:t>PC5</w:t>
            </w:r>
          </w:p>
        </w:tc>
        <w:tc>
          <w:tcPr>
            <w:tcW w:w="2520" w:type="dxa"/>
            <w:vAlign w:val="center"/>
          </w:tcPr>
          <w:p w14:paraId="7424B462" w14:textId="77777777" w:rsidR="00C26705" w:rsidRDefault="00C26705" w:rsidP="00E13005">
            <w:pPr>
              <w:spacing w:before="20" w:after="20"/>
              <w:jc w:val="center"/>
            </w:pPr>
            <w:r>
              <w:rPr>
                <w:sz w:val="16"/>
                <w:szCs w:val="16"/>
              </w:rPr>
              <w:t>NI &amp; Margin Delta</w:t>
            </w:r>
          </w:p>
        </w:tc>
        <w:tc>
          <w:tcPr>
            <w:tcW w:w="1224" w:type="dxa"/>
            <w:vAlign w:val="center"/>
          </w:tcPr>
          <w:p w14:paraId="3F290378" w14:textId="77777777" w:rsidR="00C26705" w:rsidRDefault="00C26705" w:rsidP="00E13005">
            <w:pPr>
              <w:spacing w:before="20" w:after="20"/>
              <w:jc w:val="center"/>
            </w:pPr>
            <w:r>
              <w:rPr>
                <w:sz w:val="16"/>
                <w:szCs w:val="16"/>
              </w:rPr>
              <w:t>7.3</w:t>
            </w:r>
          </w:p>
        </w:tc>
      </w:tr>
      <w:tr w:rsidR="00C26705" w14:paraId="247E707C" w14:textId="77777777" w:rsidTr="00E13005">
        <w:trPr>
          <w:jc w:val="center"/>
        </w:trPr>
        <w:tc>
          <w:tcPr>
            <w:tcW w:w="1224" w:type="dxa"/>
            <w:vAlign w:val="center"/>
          </w:tcPr>
          <w:p w14:paraId="2572E353" w14:textId="77777777" w:rsidR="00C26705" w:rsidRDefault="00C26705" w:rsidP="00E13005">
            <w:pPr>
              <w:spacing w:before="20" w:after="20"/>
              <w:jc w:val="center"/>
            </w:pPr>
            <w:r>
              <w:rPr>
                <w:sz w:val="16"/>
                <w:szCs w:val="16"/>
              </w:rPr>
              <w:t>PC6</w:t>
            </w:r>
          </w:p>
        </w:tc>
        <w:tc>
          <w:tcPr>
            <w:tcW w:w="2520" w:type="dxa"/>
            <w:vAlign w:val="center"/>
          </w:tcPr>
          <w:p w14:paraId="4387AC50" w14:textId="77777777" w:rsidR="00C26705" w:rsidRDefault="00C26705" w:rsidP="00E13005">
            <w:pPr>
              <w:spacing w:before="20" w:after="20"/>
              <w:jc w:val="center"/>
            </w:pPr>
            <w:r>
              <w:rPr>
                <w:sz w:val="16"/>
                <w:szCs w:val="16"/>
              </w:rPr>
              <w:t>Asset Efficiency</w:t>
            </w:r>
          </w:p>
        </w:tc>
        <w:tc>
          <w:tcPr>
            <w:tcW w:w="1224" w:type="dxa"/>
            <w:vAlign w:val="center"/>
          </w:tcPr>
          <w:p w14:paraId="46EA45A4" w14:textId="77777777" w:rsidR="00C26705" w:rsidRDefault="00C26705" w:rsidP="00E13005">
            <w:pPr>
              <w:spacing w:before="20" w:after="20"/>
              <w:jc w:val="center"/>
            </w:pPr>
            <w:r>
              <w:rPr>
                <w:sz w:val="16"/>
                <w:szCs w:val="16"/>
              </w:rPr>
              <w:t>6.3</w:t>
            </w:r>
          </w:p>
        </w:tc>
      </w:tr>
      <w:tr w:rsidR="00C26705" w14:paraId="0A7A166C" w14:textId="77777777" w:rsidTr="00E13005">
        <w:trPr>
          <w:jc w:val="center"/>
        </w:trPr>
        <w:tc>
          <w:tcPr>
            <w:tcW w:w="1224" w:type="dxa"/>
            <w:vAlign w:val="center"/>
          </w:tcPr>
          <w:p w14:paraId="21ADF89A" w14:textId="77777777" w:rsidR="00C26705" w:rsidRDefault="00C26705" w:rsidP="00E13005">
            <w:pPr>
              <w:spacing w:before="20" w:after="20"/>
              <w:jc w:val="center"/>
            </w:pPr>
            <w:r>
              <w:rPr>
                <w:sz w:val="16"/>
                <w:szCs w:val="16"/>
              </w:rPr>
              <w:t>PC7</w:t>
            </w:r>
          </w:p>
        </w:tc>
        <w:tc>
          <w:tcPr>
            <w:tcW w:w="2520" w:type="dxa"/>
            <w:vAlign w:val="center"/>
          </w:tcPr>
          <w:p w14:paraId="2A26DE39" w14:textId="77777777" w:rsidR="00C26705" w:rsidRDefault="00C26705" w:rsidP="00E13005">
            <w:pPr>
              <w:spacing w:before="20" w:after="20"/>
              <w:jc w:val="center"/>
            </w:pPr>
            <w:r>
              <w:rPr>
                <w:sz w:val="16"/>
                <w:szCs w:val="16"/>
              </w:rPr>
              <w:t>Macro Environment</w:t>
            </w:r>
          </w:p>
        </w:tc>
        <w:tc>
          <w:tcPr>
            <w:tcW w:w="1224" w:type="dxa"/>
            <w:vAlign w:val="center"/>
          </w:tcPr>
          <w:p w14:paraId="302805FA" w14:textId="77777777" w:rsidR="00C26705" w:rsidRDefault="00C26705" w:rsidP="00E13005">
            <w:pPr>
              <w:spacing w:before="20" w:after="20"/>
              <w:jc w:val="center"/>
            </w:pPr>
            <w:r>
              <w:rPr>
                <w:sz w:val="16"/>
                <w:szCs w:val="16"/>
              </w:rPr>
              <w:t>5.8</w:t>
            </w:r>
          </w:p>
        </w:tc>
      </w:tr>
      <w:tr w:rsidR="00C26705" w14:paraId="50F69752" w14:textId="77777777" w:rsidTr="00E13005">
        <w:trPr>
          <w:jc w:val="center"/>
        </w:trPr>
        <w:tc>
          <w:tcPr>
            <w:tcW w:w="1224" w:type="dxa"/>
            <w:vAlign w:val="center"/>
          </w:tcPr>
          <w:p w14:paraId="08BAF578" w14:textId="77777777" w:rsidR="00C26705" w:rsidRDefault="00C26705" w:rsidP="00E13005">
            <w:pPr>
              <w:spacing w:before="20" w:after="20"/>
              <w:jc w:val="center"/>
            </w:pPr>
            <w:r>
              <w:rPr>
                <w:sz w:val="16"/>
                <w:szCs w:val="16"/>
              </w:rPr>
              <w:t>PC8</w:t>
            </w:r>
          </w:p>
        </w:tc>
        <w:tc>
          <w:tcPr>
            <w:tcW w:w="2520" w:type="dxa"/>
            <w:vAlign w:val="center"/>
          </w:tcPr>
          <w:p w14:paraId="0767B3F8" w14:textId="77777777" w:rsidR="00C26705" w:rsidRDefault="00C26705" w:rsidP="00E13005">
            <w:pPr>
              <w:spacing w:before="20" w:after="20"/>
              <w:jc w:val="center"/>
            </w:pPr>
            <w:r>
              <w:rPr>
                <w:sz w:val="16"/>
                <w:szCs w:val="16"/>
              </w:rPr>
              <w:t>Equity Momentum</w:t>
            </w:r>
          </w:p>
        </w:tc>
        <w:tc>
          <w:tcPr>
            <w:tcW w:w="1224" w:type="dxa"/>
            <w:vAlign w:val="center"/>
          </w:tcPr>
          <w:p w14:paraId="306FED7D" w14:textId="77777777" w:rsidR="00C26705" w:rsidRDefault="00C26705" w:rsidP="00E13005">
            <w:pPr>
              <w:spacing w:before="20" w:after="20"/>
              <w:jc w:val="center"/>
            </w:pPr>
            <w:r>
              <w:rPr>
                <w:sz w:val="16"/>
                <w:szCs w:val="16"/>
              </w:rPr>
              <w:t>5.7</w:t>
            </w:r>
          </w:p>
        </w:tc>
      </w:tr>
      <w:tr w:rsidR="00C26705" w14:paraId="7592E22F" w14:textId="77777777" w:rsidTr="00E13005">
        <w:trPr>
          <w:jc w:val="center"/>
        </w:trPr>
        <w:tc>
          <w:tcPr>
            <w:tcW w:w="1224" w:type="dxa"/>
            <w:vAlign w:val="center"/>
          </w:tcPr>
          <w:p w14:paraId="1F18067F" w14:textId="77777777" w:rsidR="00C26705" w:rsidRDefault="00C26705" w:rsidP="00E13005">
            <w:pPr>
              <w:spacing w:before="20" w:after="20"/>
              <w:jc w:val="center"/>
            </w:pPr>
            <w:r>
              <w:rPr>
                <w:sz w:val="16"/>
                <w:szCs w:val="16"/>
              </w:rPr>
              <w:t>PC9</w:t>
            </w:r>
          </w:p>
        </w:tc>
        <w:tc>
          <w:tcPr>
            <w:tcW w:w="2520" w:type="dxa"/>
            <w:vAlign w:val="center"/>
          </w:tcPr>
          <w:p w14:paraId="77BE0A94" w14:textId="77777777" w:rsidR="00C26705" w:rsidRDefault="00C26705" w:rsidP="00E13005">
            <w:pPr>
              <w:spacing w:before="20" w:after="20"/>
              <w:jc w:val="center"/>
            </w:pPr>
            <w:r>
              <w:rPr>
                <w:sz w:val="16"/>
                <w:szCs w:val="16"/>
              </w:rPr>
              <w:t>Mixed Residual</w:t>
            </w:r>
          </w:p>
        </w:tc>
        <w:tc>
          <w:tcPr>
            <w:tcW w:w="1224" w:type="dxa"/>
            <w:vAlign w:val="center"/>
          </w:tcPr>
          <w:p w14:paraId="50A8C4CE" w14:textId="77777777" w:rsidR="00C26705" w:rsidRDefault="00C26705" w:rsidP="00E13005">
            <w:pPr>
              <w:spacing w:before="20" w:after="20"/>
              <w:jc w:val="center"/>
            </w:pPr>
            <w:r>
              <w:rPr>
                <w:sz w:val="16"/>
                <w:szCs w:val="16"/>
              </w:rPr>
              <w:t>5.3</w:t>
            </w:r>
          </w:p>
        </w:tc>
      </w:tr>
      <w:tr w:rsidR="00C26705" w14:paraId="1B382F10" w14:textId="77777777" w:rsidTr="00E13005">
        <w:trPr>
          <w:jc w:val="center"/>
        </w:trPr>
        <w:tc>
          <w:tcPr>
            <w:tcW w:w="1224" w:type="dxa"/>
            <w:vAlign w:val="center"/>
          </w:tcPr>
          <w:p w14:paraId="1EFC0CA1" w14:textId="77777777" w:rsidR="00C26705" w:rsidRDefault="00C26705" w:rsidP="00E13005">
            <w:pPr>
              <w:spacing w:before="20" w:after="20"/>
              <w:jc w:val="center"/>
            </w:pPr>
            <w:r>
              <w:rPr>
                <w:sz w:val="16"/>
                <w:szCs w:val="16"/>
              </w:rPr>
              <w:t>Total</w:t>
            </w:r>
          </w:p>
        </w:tc>
        <w:tc>
          <w:tcPr>
            <w:tcW w:w="2520" w:type="dxa"/>
            <w:vAlign w:val="center"/>
          </w:tcPr>
          <w:p w14:paraId="467D312A" w14:textId="77777777" w:rsidR="00C26705" w:rsidRDefault="00C26705" w:rsidP="00E13005">
            <w:pPr>
              <w:spacing w:before="20" w:after="20"/>
              <w:jc w:val="center"/>
            </w:pPr>
          </w:p>
        </w:tc>
        <w:tc>
          <w:tcPr>
            <w:tcW w:w="1224" w:type="dxa"/>
            <w:vAlign w:val="center"/>
          </w:tcPr>
          <w:p w14:paraId="4BD3E655" w14:textId="77777777" w:rsidR="00C26705" w:rsidRDefault="00C26705" w:rsidP="00E13005">
            <w:pPr>
              <w:spacing w:before="20" w:after="20"/>
              <w:jc w:val="center"/>
            </w:pPr>
            <w:r>
              <w:rPr>
                <w:sz w:val="16"/>
                <w:szCs w:val="16"/>
              </w:rPr>
              <w:t>70.7</w:t>
            </w:r>
          </w:p>
        </w:tc>
      </w:tr>
    </w:tbl>
    <w:p w14:paraId="731D524B" w14:textId="77777777" w:rsidR="00C26705" w:rsidRDefault="00C26705" w:rsidP="000358F3">
      <w:pPr>
        <w:spacing w:before="120" w:after="120"/>
        <w:rPr>
          <w:i/>
          <w:iCs/>
        </w:rPr>
      </w:pPr>
    </w:p>
    <w:p w14:paraId="3A3AF8A0" w14:textId="484ACA70" w:rsidR="000358F3" w:rsidRDefault="000358F3" w:rsidP="000358F3">
      <w:pPr>
        <w:spacing w:before="120" w:after="120"/>
        <w:rPr>
          <w:i/>
          <w:iCs/>
        </w:rPr>
      </w:pPr>
      <w:r>
        <w:rPr>
          <w:i/>
          <w:iCs/>
        </w:rPr>
        <w:t>III. Global Model Estimation</w:t>
      </w:r>
    </w:p>
    <w:p w14:paraId="23A69BED" w14:textId="55D79356" w:rsidR="00E07D0F" w:rsidRPr="00E07D0F" w:rsidRDefault="00E07D0F" w:rsidP="00E07D0F">
      <w:pPr>
        <w:jc w:val="both"/>
      </w:pPr>
      <w:r>
        <w:t>The global logistic regression model is estimated on 16,589 training observations using all 9 PCA components with balanced class weights</w:t>
      </w:r>
      <w:r w:rsidR="00536B16">
        <w:t xml:space="preserve"> assumed (number of outperformers </w:t>
      </w:r>
      <w:r w:rsidR="002E1C82">
        <w:lastRenderedPageBreak/>
        <w:t>equaling</w:t>
      </w:r>
      <w:r w:rsidR="00536B16">
        <w:t xml:space="preserve"> number of underperformers)</w:t>
      </w:r>
      <w:r>
        <w:t xml:space="preserve">. Table III reports </w:t>
      </w:r>
      <w:r w:rsidR="00371B8C">
        <w:t xml:space="preserve">the </w:t>
      </w:r>
      <w:r>
        <w:t xml:space="preserve">diagnostic results such as coefficient estimates, Wald z-statistics, and significance levels. </w:t>
      </w:r>
      <w:r w:rsidR="00371B8C">
        <w:t>The</w:t>
      </w:r>
      <w:r>
        <w:t xml:space="preserve"> Logistic Regression</w:t>
      </w:r>
      <w:r w:rsidR="00371B8C">
        <w:t xml:space="preserve"> training procedure results in f</w:t>
      </w:r>
      <w:r>
        <w:t>our components reach</w:t>
      </w:r>
      <w:r w:rsidR="00371B8C">
        <w:t>ing</w:t>
      </w:r>
      <w:r>
        <w:t xml:space="preserve"> statistical significance at a 95% confidence interval (p &lt; 0.05): PC1 (profitability, z=4.955), PC3 (revenue momentum, z=-2.377), PC6 (asset efficiency, z=-5.114), and PC7 (macro environment, z=-3.015). McFadden's Pseudo-R² = 0.0029. The overall model is </w:t>
      </w:r>
      <w:r w:rsidR="00536B16">
        <w:t xml:space="preserve">also </w:t>
      </w:r>
      <w:r>
        <w:t>statistically significant (LR test p &lt; 0.0001).</w:t>
      </w:r>
    </w:p>
    <w:p w14:paraId="0FCD1C32" w14:textId="38AD8E88" w:rsidR="000358F3" w:rsidRDefault="000358F3" w:rsidP="000358F3">
      <w:pPr>
        <w:spacing w:before="120" w:after="120"/>
        <w:rPr>
          <w:i/>
          <w:iCs/>
        </w:rPr>
      </w:pPr>
      <w:r>
        <w:rPr>
          <w:i/>
          <w:iCs/>
        </w:rPr>
        <w:t>IV. Confusion Matrix</w:t>
      </w:r>
    </w:p>
    <w:p w14:paraId="74261530" w14:textId="77777777" w:rsidR="00D9226E" w:rsidRDefault="00D9226E" w:rsidP="000358F3">
      <w:pPr>
        <w:spacing w:before="120" w:after="120"/>
        <w:rPr>
          <w:i/>
          <w:iCs/>
        </w:rPr>
      </w:pPr>
    </w:p>
    <w:p w14:paraId="0A51AE98" w14:textId="4A3C3CBB" w:rsidR="00D9226E" w:rsidRPr="002E1C82" w:rsidRDefault="00371B8C" w:rsidP="002E1C82">
      <w:pPr>
        <w:spacing w:before="120" w:after="40"/>
        <w:jc w:val="center"/>
      </w:pPr>
      <w:r>
        <w:rPr>
          <w:noProof/>
          <w:lang w:eastAsia="en-US"/>
        </w:rPr>
        <w:drawing>
          <wp:inline distT="0" distB="0" distL="0" distR="0" wp14:anchorId="3D47EFE8" wp14:editId="0BCB5912">
            <wp:extent cx="2926080" cy="2312607"/>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926080" cy="2312607"/>
                    </a:xfrm>
                    <a:prstGeom prst="rect">
                      <a:avLst/>
                    </a:prstGeom>
                    <a:ln/>
                  </pic:spPr>
                </pic:pic>
              </a:graphicData>
            </a:graphic>
          </wp:inline>
        </w:drawing>
      </w:r>
    </w:p>
    <w:p w14:paraId="6EC520A2" w14:textId="56761007" w:rsidR="00371B8C" w:rsidRPr="00EB30D6" w:rsidRDefault="00371B8C" w:rsidP="00371B8C">
      <w:pPr>
        <w:spacing w:before="40" w:after="20"/>
        <w:jc w:val="center"/>
      </w:pPr>
      <w:r>
        <w:rPr>
          <w:smallCaps/>
        </w:rPr>
        <w:t>Figure IV</w:t>
      </w:r>
    </w:p>
    <w:p w14:paraId="017E32EB" w14:textId="1191D189" w:rsidR="00371B8C" w:rsidRDefault="00371B8C" w:rsidP="00371B8C">
      <w:pPr>
        <w:spacing w:before="20" w:after="120"/>
        <w:jc w:val="center"/>
        <w:rPr>
          <w:smallCaps/>
          <w:sz w:val="16"/>
          <w:szCs w:val="16"/>
          <w:lang w:eastAsia="en-US"/>
        </w:rPr>
      </w:pPr>
      <w:r w:rsidRPr="00371B8C">
        <w:rPr>
          <w:smallCaps/>
          <w:sz w:val="16"/>
          <w:szCs w:val="16"/>
          <w:lang w:eastAsia="en-US"/>
        </w:rPr>
        <w:t>CONFUSION MATRIX AT CLASSIFICATION THRESHOLD 0.50 (GLOBAL MODEL, 16,589 TRAINING OBSERVATIONS)</w:t>
      </w:r>
    </w:p>
    <w:p w14:paraId="12D97865" w14:textId="4E3EDC82" w:rsidR="002E1C82" w:rsidRPr="00371B8C" w:rsidRDefault="003A3E24" w:rsidP="003A3E24">
      <w:pPr>
        <w:spacing w:before="20" w:after="120"/>
      </w:pPr>
      <w:r>
        <w:t>Fairly high sensitivity is reported at 68.1%, specificity is low at only 37.7%, and accuracy is slightly better than random at 53.2%. Despite being only 3.2% better than random, this may can still be materially impactful if portfolio construction garners meaningful alpha. Please refer to the results section for this analysis.</w:t>
      </w:r>
    </w:p>
    <w:p w14:paraId="1225325A" w14:textId="61C16166" w:rsidR="003E4717" w:rsidRDefault="003E4717" w:rsidP="003E4717">
      <w:pPr>
        <w:pStyle w:val="SectionHeading"/>
      </w:pPr>
      <w:r>
        <w:t>Results and Interpretation</w:t>
      </w:r>
    </w:p>
    <w:p w14:paraId="21A7CCA4" w14:textId="56C4EC8D" w:rsidR="001F3645" w:rsidRPr="001F3645" w:rsidRDefault="001F3645" w:rsidP="001F3645">
      <w:pPr>
        <w:spacing w:before="120" w:after="120"/>
        <w:rPr>
          <w:i/>
          <w:iCs/>
        </w:rPr>
      </w:pPr>
      <w:r>
        <w:rPr>
          <w:i/>
          <w:iCs/>
        </w:rPr>
        <w:t>I. Global Model Performance</w:t>
      </w:r>
    </w:p>
    <w:p w14:paraId="38C82BDB" w14:textId="2BA986DE" w:rsidR="00371B8C" w:rsidRDefault="00371B8C" w:rsidP="001F3645">
      <w:pPr>
        <w:spacing w:before="120" w:after="120"/>
      </w:pPr>
      <w:r w:rsidRPr="00371B8C">
        <w:t>The global logistic regression model achieves 53.2% overall accuracy and AUC of 0.5381. Table IV compares logistic regression to the Gradient Boosting benchmark and the Ananthakumar &amp; Sarkar (2017) paper benchmark. Figure I presents the ROC curves for both models alongside the random baseline diagonal.</w:t>
      </w:r>
    </w:p>
    <w:p w14:paraId="6C500FAB" w14:textId="77777777" w:rsidR="00D9226E" w:rsidRDefault="00D9226E" w:rsidP="001F3645">
      <w:pPr>
        <w:spacing w:before="120" w:after="120"/>
      </w:pPr>
    </w:p>
    <w:p w14:paraId="5473AB3A" w14:textId="5C9E4A35" w:rsidR="00D9226E" w:rsidRPr="003A3E24" w:rsidRDefault="00371B8C" w:rsidP="003A3E24">
      <w:pPr>
        <w:spacing w:before="120" w:after="40"/>
        <w:jc w:val="center"/>
      </w:pPr>
      <w:r>
        <w:rPr>
          <w:noProof/>
          <w:lang w:eastAsia="en-US"/>
        </w:rPr>
        <w:drawing>
          <wp:inline distT="0" distB="0" distL="0" distR="0" wp14:anchorId="26712A6C" wp14:editId="5E7538CA">
            <wp:extent cx="2926080" cy="2259378"/>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2926080" cy="2259378"/>
                    </a:xfrm>
                    <a:prstGeom prst="rect">
                      <a:avLst/>
                    </a:prstGeom>
                    <a:ln/>
                  </pic:spPr>
                </pic:pic>
              </a:graphicData>
            </a:graphic>
          </wp:inline>
        </w:drawing>
      </w:r>
    </w:p>
    <w:p w14:paraId="526C362C" w14:textId="0CD7F8E2" w:rsidR="00371B8C" w:rsidRPr="00EB30D6" w:rsidRDefault="00371B8C" w:rsidP="00371B8C">
      <w:pPr>
        <w:spacing w:before="40" w:after="20"/>
        <w:jc w:val="center"/>
      </w:pPr>
      <w:r>
        <w:rPr>
          <w:smallCaps/>
        </w:rPr>
        <w:t>Figure V</w:t>
      </w:r>
    </w:p>
    <w:p w14:paraId="58C9D2F8" w14:textId="51AF64DC" w:rsidR="001F3645" w:rsidRDefault="001F3645" w:rsidP="001F3645">
      <w:pPr>
        <w:spacing w:before="20" w:after="120"/>
        <w:jc w:val="center"/>
        <w:rPr>
          <w:smallCaps/>
          <w:sz w:val="16"/>
          <w:szCs w:val="16"/>
        </w:rPr>
      </w:pPr>
      <w:r>
        <w:rPr>
          <w:smallCaps/>
          <w:sz w:val="16"/>
          <w:szCs w:val="16"/>
        </w:rPr>
        <w:t>ROC Curves for Logistic Regression (AUC=0.5381) and Gradient Boosting (AUC=0.6589). Gold Dot Marks the Chosen Classification Threshold (0.50)</w:t>
      </w:r>
    </w:p>
    <w:p w14:paraId="525CA6E2" w14:textId="77777777" w:rsidR="003A3E24" w:rsidRDefault="003A3E24" w:rsidP="001F3645">
      <w:pPr>
        <w:spacing w:before="20" w:after="120"/>
        <w:jc w:val="center"/>
        <w:rPr>
          <w:smallCaps/>
          <w:sz w:val="16"/>
          <w:szCs w:val="16"/>
        </w:rPr>
      </w:pPr>
    </w:p>
    <w:p w14:paraId="098657BB" w14:textId="6231653C" w:rsidR="001F3645" w:rsidRDefault="001F3645" w:rsidP="001F3645">
      <w:pPr>
        <w:spacing w:before="40" w:after="20"/>
        <w:jc w:val="center"/>
      </w:pPr>
      <w:r w:rsidRPr="001F3645">
        <w:rPr>
          <w:smallCaps/>
        </w:rPr>
        <w:t xml:space="preserve"> </w:t>
      </w:r>
      <w:r>
        <w:rPr>
          <w:smallCaps/>
        </w:rPr>
        <w:t xml:space="preserve">Table </w:t>
      </w:r>
      <w:r w:rsidR="004657BA">
        <w:rPr>
          <w:smallCaps/>
        </w:rPr>
        <w:t>I</w:t>
      </w:r>
      <w:r>
        <w:rPr>
          <w:smallCaps/>
        </w:rPr>
        <w:t>V</w:t>
      </w:r>
    </w:p>
    <w:p w14:paraId="4AC3FB27" w14:textId="46B0E9D3" w:rsidR="001F3645" w:rsidRPr="001F3645" w:rsidRDefault="001F3645" w:rsidP="001F3645">
      <w:pPr>
        <w:spacing w:before="20" w:after="60"/>
        <w:jc w:val="center"/>
        <w:rPr>
          <w:smallCaps/>
          <w:sz w:val="16"/>
          <w:szCs w:val="16"/>
        </w:rPr>
      </w:pPr>
      <w:r>
        <w:rPr>
          <w:smallCaps/>
          <w:sz w:val="16"/>
          <w:szCs w:val="16"/>
        </w:rPr>
        <w:t>Global Model Comparison: Logistic Regression vs. Gradient Boosting</w:t>
      </w:r>
    </w:p>
    <w:tbl>
      <w:tblPr>
        <w:tblW w:w="5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4"/>
        <w:gridCol w:w="1240"/>
        <w:gridCol w:w="1088"/>
      </w:tblGrid>
      <w:tr w:rsidR="001F3645" w14:paraId="7E843DF9" w14:textId="77777777" w:rsidTr="00E13005">
        <w:trPr>
          <w:jc w:val="center"/>
        </w:trPr>
        <w:tc>
          <w:tcPr>
            <w:tcW w:w="2784" w:type="dxa"/>
            <w:vAlign w:val="center"/>
          </w:tcPr>
          <w:p w14:paraId="19184F08" w14:textId="77777777" w:rsidR="001F3645" w:rsidRDefault="001F3645" w:rsidP="00E13005">
            <w:pPr>
              <w:spacing w:before="20" w:after="20"/>
              <w:jc w:val="center"/>
            </w:pPr>
            <w:r>
              <w:rPr>
                <w:b/>
                <w:bCs/>
                <w:sz w:val="16"/>
                <w:szCs w:val="16"/>
              </w:rPr>
              <w:t>Model</w:t>
            </w:r>
          </w:p>
        </w:tc>
        <w:tc>
          <w:tcPr>
            <w:tcW w:w="1240" w:type="dxa"/>
            <w:vAlign w:val="center"/>
          </w:tcPr>
          <w:p w14:paraId="549C9CE8" w14:textId="77777777" w:rsidR="001F3645" w:rsidRDefault="001F3645" w:rsidP="00E13005">
            <w:pPr>
              <w:spacing w:before="20" w:after="20"/>
              <w:jc w:val="center"/>
            </w:pPr>
            <w:r>
              <w:rPr>
                <w:b/>
                <w:bCs/>
                <w:sz w:val="16"/>
                <w:szCs w:val="16"/>
              </w:rPr>
              <w:t>Accuracy</w:t>
            </w:r>
          </w:p>
        </w:tc>
        <w:tc>
          <w:tcPr>
            <w:tcW w:w="1088" w:type="dxa"/>
            <w:vAlign w:val="center"/>
          </w:tcPr>
          <w:p w14:paraId="173C4733" w14:textId="77777777" w:rsidR="001F3645" w:rsidRDefault="001F3645" w:rsidP="00E13005">
            <w:pPr>
              <w:spacing w:before="20" w:after="20"/>
              <w:jc w:val="center"/>
            </w:pPr>
            <w:r>
              <w:rPr>
                <w:b/>
                <w:bCs/>
                <w:sz w:val="16"/>
                <w:szCs w:val="16"/>
              </w:rPr>
              <w:t>AUC</w:t>
            </w:r>
          </w:p>
        </w:tc>
      </w:tr>
      <w:tr w:rsidR="001F3645" w14:paraId="3BA5FA49" w14:textId="77777777" w:rsidTr="00E13005">
        <w:trPr>
          <w:jc w:val="center"/>
        </w:trPr>
        <w:tc>
          <w:tcPr>
            <w:tcW w:w="2784" w:type="dxa"/>
            <w:vAlign w:val="center"/>
          </w:tcPr>
          <w:p w14:paraId="324A807B" w14:textId="77777777" w:rsidR="001F3645" w:rsidRDefault="001F3645" w:rsidP="00E13005">
            <w:pPr>
              <w:spacing w:before="20" w:after="20"/>
              <w:jc w:val="center"/>
            </w:pPr>
            <w:r>
              <w:rPr>
                <w:sz w:val="16"/>
                <w:szCs w:val="16"/>
              </w:rPr>
              <w:t>Logistic Regression (primary)</w:t>
            </w:r>
          </w:p>
        </w:tc>
        <w:tc>
          <w:tcPr>
            <w:tcW w:w="1240" w:type="dxa"/>
            <w:vAlign w:val="center"/>
          </w:tcPr>
          <w:p w14:paraId="6F2FAE72" w14:textId="77777777" w:rsidR="001F3645" w:rsidRDefault="001F3645" w:rsidP="00E13005">
            <w:pPr>
              <w:spacing w:before="20" w:after="20"/>
              <w:jc w:val="center"/>
            </w:pPr>
            <w:r>
              <w:rPr>
                <w:sz w:val="16"/>
                <w:szCs w:val="16"/>
              </w:rPr>
              <w:t>53.2%</w:t>
            </w:r>
          </w:p>
        </w:tc>
        <w:tc>
          <w:tcPr>
            <w:tcW w:w="1088" w:type="dxa"/>
            <w:vAlign w:val="center"/>
          </w:tcPr>
          <w:p w14:paraId="13443B5C" w14:textId="77777777" w:rsidR="001F3645" w:rsidRDefault="001F3645" w:rsidP="00E13005">
            <w:pPr>
              <w:spacing w:before="20" w:after="20"/>
              <w:jc w:val="center"/>
            </w:pPr>
            <w:r>
              <w:rPr>
                <w:sz w:val="16"/>
                <w:szCs w:val="16"/>
              </w:rPr>
              <w:t>0.5381</w:t>
            </w:r>
          </w:p>
        </w:tc>
      </w:tr>
      <w:tr w:rsidR="001F3645" w14:paraId="0D14F652" w14:textId="77777777" w:rsidTr="00E13005">
        <w:trPr>
          <w:jc w:val="center"/>
        </w:trPr>
        <w:tc>
          <w:tcPr>
            <w:tcW w:w="2784" w:type="dxa"/>
            <w:vAlign w:val="center"/>
          </w:tcPr>
          <w:p w14:paraId="697F8F65" w14:textId="77777777" w:rsidR="001F3645" w:rsidRDefault="001F3645" w:rsidP="00E13005">
            <w:pPr>
              <w:spacing w:before="20" w:after="20"/>
              <w:jc w:val="center"/>
            </w:pPr>
            <w:r>
              <w:rPr>
                <w:sz w:val="16"/>
                <w:szCs w:val="16"/>
              </w:rPr>
              <w:t>Gradient Boosting (benchmark)</w:t>
            </w:r>
          </w:p>
        </w:tc>
        <w:tc>
          <w:tcPr>
            <w:tcW w:w="1240" w:type="dxa"/>
            <w:vAlign w:val="center"/>
          </w:tcPr>
          <w:p w14:paraId="5DACFD77" w14:textId="77777777" w:rsidR="001F3645" w:rsidRDefault="001F3645" w:rsidP="00E13005">
            <w:pPr>
              <w:spacing w:before="20" w:after="20"/>
              <w:jc w:val="center"/>
            </w:pPr>
            <w:r>
              <w:rPr>
                <w:sz w:val="16"/>
                <w:szCs w:val="16"/>
              </w:rPr>
              <w:t>55.4%</w:t>
            </w:r>
          </w:p>
        </w:tc>
        <w:tc>
          <w:tcPr>
            <w:tcW w:w="1088" w:type="dxa"/>
            <w:vAlign w:val="center"/>
          </w:tcPr>
          <w:p w14:paraId="5084AE06" w14:textId="77777777" w:rsidR="001F3645" w:rsidRDefault="001F3645" w:rsidP="00E13005">
            <w:pPr>
              <w:spacing w:before="20" w:after="20"/>
              <w:jc w:val="center"/>
            </w:pPr>
            <w:r>
              <w:rPr>
                <w:sz w:val="16"/>
                <w:szCs w:val="16"/>
              </w:rPr>
              <w:t>0.6589</w:t>
            </w:r>
          </w:p>
        </w:tc>
      </w:tr>
      <w:tr w:rsidR="001F3645" w14:paraId="13136934" w14:textId="77777777" w:rsidTr="00E13005">
        <w:trPr>
          <w:jc w:val="center"/>
        </w:trPr>
        <w:tc>
          <w:tcPr>
            <w:tcW w:w="2784" w:type="dxa"/>
            <w:vAlign w:val="center"/>
          </w:tcPr>
          <w:p w14:paraId="783A6EF8" w14:textId="77777777" w:rsidR="001F3645" w:rsidRDefault="001F3645" w:rsidP="00E13005">
            <w:pPr>
              <w:spacing w:before="20" w:after="20"/>
              <w:jc w:val="center"/>
            </w:pPr>
            <w:r>
              <w:rPr>
                <w:sz w:val="16"/>
                <w:szCs w:val="16"/>
              </w:rPr>
              <w:t>Ananthakumar &amp; Sarkar (2017)</w:t>
            </w:r>
          </w:p>
        </w:tc>
        <w:tc>
          <w:tcPr>
            <w:tcW w:w="1240" w:type="dxa"/>
            <w:vAlign w:val="center"/>
          </w:tcPr>
          <w:p w14:paraId="74C00F5C" w14:textId="77777777" w:rsidR="001F3645" w:rsidRDefault="001F3645" w:rsidP="00E13005">
            <w:pPr>
              <w:spacing w:before="20" w:after="20"/>
              <w:jc w:val="center"/>
            </w:pPr>
            <w:r>
              <w:rPr>
                <w:sz w:val="16"/>
                <w:szCs w:val="16"/>
              </w:rPr>
              <w:t>71.2%</w:t>
            </w:r>
          </w:p>
        </w:tc>
        <w:tc>
          <w:tcPr>
            <w:tcW w:w="1088" w:type="dxa"/>
            <w:vAlign w:val="center"/>
          </w:tcPr>
          <w:p w14:paraId="071A3296" w14:textId="37C9557A" w:rsidR="001F3645" w:rsidRDefault="001F3645" w:rsidP="00E13005">
            <w:pPr>
              <w:spacing w:before="20" w:after="20"/>
              <w:jc w:val="center"/>
            </w:pPr>
            <w:r>
              <w:rPr>
                <w:sz w:val="16"/>
                <w:szCs w:val="16"/>
              </w:rPr>
              <w:t>0.7487</w:t>
            </w:r>
          </w:p>
        </w:tc>
      </w:tr>
    </w:tbl>
    <w:p w14:paraId="73CA2D16" w14:textId="77777777" w:rsidR="001F3645" w:rsidRDefault="001F3645" w:rsidP="00371B8C">
      <w:pPr>
        <w:spacing w:before="20" w:after="120"/>
        <w:jc w:val="center"/>
      </w:pPr>
    </w:p>
    <w:p w14:paraId="3AEF5A60" w14:textId="0CC5F140" w:rsidR="003A3E24" w:rsidRDefault="001F3645" w:rsidP="005716B7">
      <w:pPr>
        <w:jc w:val="both"/>
      </w:pPr>
      <w:r>
        <w:t>The 12.1 percentage-point AUC gap between logistic regression and Gradient Boosting confirms that there is significant non-linear interaction effects among financial ratios</w:t>
      </w:r>
      <w:r w:rsidR="003A3E24">
        <w:t>, and remains a viable research candidate for further analysis.</w:t>
      </w:r>
      <w:r>
        <w:t xml:space="preserve"> The gap between either model and the 71.2% benchmark is attributable to the stricter 5% per-component PCA threshold, which retains fewer components than a cumulative 80% rule would, and to the 15-year training window that spans multiple market regimes with conflicting ratio-return relationships. Moreover, the liquidity present in the American </w:t>
      </w:r>
      <w:r w:rsidR="005716B7">
        <w:t>e</w:t>
      </w:r>
      <w:r>
        <w:t xml:space="preserve">xchanges on which these companies </w:t>
      </w:r>
      <w:r w:rsidR="005716B7">
        <w:t xml:space="preserve">are traded may offer </w:t>
      </w:r>
      <w:r w:rsidR="003A3E24">
        <w:t>more support for the EMH when compared to the</w:t>
      </w:r>
      <w:r w:rsidR="005716B7">
        <w:t xml:space="preserve"> </w:t>
      </w:r>
      <w:r w:rsidR="003A3E24">
        <w:t xml:space="preserve">BSE </w:t>
      </w:r>
      <w:r w:rsidR="005716B7">
        <w:t xml:space="preserve">that was under consideration </w:t>
      </w:r>
      <w:r w:rsidR="003A3E24">
        <w:t xml:space="preserve">in </w:t>
      </w:r>
      <w:r w:rsidR="005716B7">
        <w:t xml:space="preserve">the reference </w:t>
      </w:r>
      <w:r w:rsidR="003A3E24">
        <w:t>material</w:t>
      </w:r>
      <w:r w:rsidR="005716B7">
        <w:t>. Finally, the reference model was classifying annual performance, not predicting future quarter performance</w:t>
      </w:r>
      <w:r w:rsidR="00536B16">
        <w:t xml:space="preserve"> leaving </w:t>
      </w:r>
      <w:r w:rsidR="003A3E24">
        <w:t>less opportunity for short-term events to have meaningful impact on the result</w:t>
      </w:r>
    </w:p>
    <w:p w14:paraId="655573D6" w14:textId="24E01637" w:rsidR="005716B7" w:rsidRDefault="005716B7" w:rsidP="005716B7">
      <w:pPr>
        <w:spacing w:before="120" w:after="120"/>
        <w:rPr>
          <w:i/>
          <w:iCs/>
        </w:rPr>
      </w:pPr>
      <w:r>
        <w:rPr>
          <w:i/>
          <w:iCs/>
        </w:rPr>
        <w:t>II. Segmentation Model Performance</w:t>
      </w:r>
    </w:p>
    <w:p w14:paraId="48293D66" w14:textId="1EFB6D42" w:rsidR="004657BA" w:rsidRDefault="004657BA" w:rsidP="004657BA">
      <w:pPr>
        <w:jc w:val="both"/>
      </w:pPr>
      <w:r>
        <w:t xml:space="preserve">Figure VI and Table V show accuracy and AUC across all 11 GICS sectors that were also tested via logistic regression. The Sector-specific models consistently outperform the global pooled model </w:t>
      </w:r>
      <w:r w:rsidR="003A3E24">
        <w:t xml:space="preserve">which has </w:t>
      </w:r>
      <w:r>
        <w:t xml:space="preserve">accuracy </w:t>
      </w:r>
      <w:r w:rsidR="003A3E24" w:rsidRPr="003A3E24">
        <w:t>of</w:t>
      </w:r>
      <w:r w:rsidR="003A3E24">
        <w:t xml:space="preserve"> </w:t>
      </w:r>
      <w:r w:rsidRPr="003A3E24">
        <w:t>53</w:t>
      </w:r>
      <w:r>
        <w:t>.2%, confirming that financial ratios carry different predictive content across</w:t>
      </w:r>
      <w:r w:rsidR="00536B16">
        <w:t xml:space="preserve"> different</w:t>
      </w:r>
      <w:r>
        <w:t xml:space="preserve"> industries. Energy (61.7%), Communication Services (59.5%), and Real Estate (59.5%) are the strongest-performing sectors</w:t>
      </w:r>
      <w:r w:rsidR="00536B16">
        <w:t xml:space="preserve"> according to th</w:t>
      </w:r>
      <w:r w:rsidR="003A3E24">
        <w:t>is split</w:t>
      </w:r>
      <w:r w:rsidR="00536B16">
        <w:t xml:space="preserve"> model</w:t>
      </w:r>
      <w:r>
        <w:t>.</w:t>
      </w:r>
    </w:p>
    <w:p w14:paraId="4570A0DC" w14:textId="77777777" w:rsidR="00D9226E" w:rsidRDefault="00D9226E" w:rsidP="004657BA">
      <w:pPr>
        <w:jc w:val="both"/>
      </w:pPr>
    </w:p>
    <w:p w14:paraId="6001E792" w14:textId="7EB04AB3" w:rsidR="00D9226E" w:rsidRPr="00536B16" w:rsidRDefault="004657BA" w:rsidP="00536B16">
      <w:pPr>
        <w:spacing w:before="120" w:after="40"/>
        <w:jc w:val="center"/>
      </w:pPr>
      <w:r>
        <w:rPr>
          <w:noProof/>
          <w:lang w:eastAsia="en-US"/>
        </w:rPr>
        <w:lastRenderedPageBreak/>
        <w:drawing>
          <wp:inline distT="0" distB="0" distL="0" distR="0" wp14:anchorId="1A60510E" wp14:editId="7C1246E5">
            <wp:extent cx="2926080" cy="1471759"/>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2926080" cy="1471759"/>
                    </a:xfrm>
                    <a:prstGeom prst="rect">
                      <a:avLst/>
                    </a:prstGeom>
                    <a:ln/>
                  </pic:spPr>
                </pic:pic>
              </a:graphicData>
            </a:graphic>
          </wp:inline>
        </w:drawing>
      </w:r>
    </w:p>
    <w:p w14:paraId="24647117" w14:textId="567EF821" w:rsidR="004657BA" w:rsidRPr="00EB30D6" w:rsidRDefault="004657BA" w:rsidP="004657BA">
      <w:pPr>
        <w:spacing w:before="40" w:after="20"/>
        <w:jc w:val="center"/>
      </w:pPr>
      <w:r>
        <w:rPr>
          <w:smallCaps/>
        </w:rPr>
        <w:t>Figure VI</w:t>
      </w:r>
    </w:p>
    <w:p w14:paraId="21B0B53A" w14:textId="0123AF7B" w:rsidR="004657BA" w:rsidRDefault="004657BA" w:rsidP="004657BA">
      <w:pPr>
        <w:spacing w:before="20" w:after="120"/>
        <w:jc w:val="center"/>
        <w:rPr>
          <w:smallCaps/>
          <w:sz w:val="16"/>
          <w:szCs w:val="16"/>
        </w:rPr>
      </w:pPr>
      <w:r>
        <w:rPr>
          <w:smallCaps/>
          <w:sz w:val="16"/>
          <w:szCs w:val="16"/>
        </w:rPr>
        <w:t>Test Accuracy and AUC by GICS Sector. Dashed Lines Mark the Global Baseline (Accuracy 53.2%, AUC 0.5381).</w:t>
      </w:r>
    </w:p>
    <w:p w14:paraId="33989076" w14:textId="77777777" w:rsidR="00536B16" w:rsidRPr="004657BA" w:rsidRDefault="00536B16" w:rsidP="004657BA">
      <w:pPr>
        <w:spacing w:before="20" w:after="120"/>
        <w:jc w:val="center"/>
        <w:rPr>
          <w:smallCaps/>
          <w:sz w:val="16"/>
          <w:szCs w:val="16"/>
        </w:rPr>
      </w:pPr>
    </w:p>
    <w:p w14:paraId="3429C9CD" w14:textId="77777777" w:rsidR="004657BA" w:rsidRDefault="004657BA" w:rsidP="004657BA">
      <w:pPr>
        <w:spacing w:before="120" w:after="20"/>
        <w:jc w:val="center"/>
      </w:pPr>
      <w:r>
        <w:rPr>
          <w:smallCaps/>
        </w:rPr>
        <w:t>TABLE V</w:t>
      </w:r>
    </w:p>
    <w:p w14:paraId="422F95AA" w14:textId="77777777" w:rsidR="004657BA" w:rsidRDefault="004657BA" w:rsidP="004657BA">
      <w:pPr>
        <w:spacing w:before="20" w:after="60"/>
        <w:jc w:val="center"/>
      </w:pPr>
      <w:r>
        <w:rPr>
          <w:smallCaps/>
          <w:sz w:val="16"/>
          <w:szCs w:val="16"/>
        </w:rPr>
        <w:t>Logistic Regression Results by GICS Sector</w:t>
      </w:r>
    </w:p>
    <w:tbl>
      <w:tblPr>
        <w:tblW w:w="5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1301"/>
        <w:gridCol w:w="1148"/>
      </w:tblGrid>
      <w:tr w:rsidR="004657BA" w14:paraId="4F3D84E4" w14:textId="77777777" w:rsidTr="00E13005">
        <w:trPr>
          <w:jc w:val="center"/>
        </w:trPr>
        <w:tc>
          <w:tcPr>
            <w:tcW w:w="2663" w:type="dxa"/>
            <w:vAlign w:val="center"/>
          </w:tcPr>
          <w:p w14:paraId="368D6C95" w14:textId="77777777" w:rsidR="004657BA" w:rsidRDefault="004657BA" w:rsidP="00E13005">
            <w:pPr>
              <w:spacing w:before="20" w:after="20"/>
              <w:jc w:val="center"/>
            </w:pPr>
            <w:r>
              <w:rPr>
                <w:b/>
                <w:bCs/>
                <w:sz w:val="16"/>
                <w:szCs w:val="16"/>
              </w:rPr>
              <w:t>Sector</w:t>
            </w:r>
          </w:p>
        </w:tc>
        <w:tc>
          <w:tcPr>
            <w:tcW w:w="1301" w:type="dxa"/>
            <w:vAlign w:val="center"/>
          </w:tcPr>
          <w:p w14:paraId="6A8B5117" w14:textId="77777777" w:rsidR="004657BA" w:rsidRDefault="004657BA" w:rsidP="00E13005">
            <w:pPr>
              <w:spacing w:before="20" w:after="20"/>
              <w:jc w:val="center"/>
            </w:pPr>
            <w:r>
              <w:rPr>
                <w:b/>
                <w:bCs/>
                <w:sz w:val="16"/>
                <w:szCs w:val="16"/>
              </w:rPr>
              <w:t>Accuracy</w:t>
            </w:r>
          </w:p>
        </w:tc>
        <w:tc>
          <w:tcPr>
            <w:tcW w:w="1148" w:type="dxa"/>
            <w:vAlign w:val="center"/>
          </w:tcPr>
          <w:p w14:paraId="7DB2CBB3" w14:textId="77777777" w:rsidR="004657BA" w:rsidRDefault="004657BA" w:rsidP="00E13005">
            <w:pPr>
              <w:spacing w:before="20" w:after="20"/>
              <w:jc w:val="center"/>
            </w:pPr>
            <w:r>
              <w:rPr>
                <w:b/>
                <w:bCs/>
                <w:sz w:val="16"/>
                <w:szCs w:val="16"/>
              </w:rPr>
              <w:t>AUC</w:t>
            </w:r>
          </w:p>
        </w:tc>
      </w:tr>
      <w:tr w:rsidR="004657BA" w14:paraId="6BC4FE63" w14:textId="77777777" w:rsidTr="00E13005">
        <w:trPr>
          <w:jc w:val="center"/>
        </w:trPr>
        <w:tc>
          <w:tcPr>
            <w:tcW w:w="2663" w:type="dxa"/>
            <w:vAlign w:val="center"/>
          </w:tcPr>
          <w:p w14:paraId="06200A34" w14:textId="77777777" w:rsidR="004657BA" w:rsidRDefault="004657BA" w:rsidP="00E13005">
            <w:pPr>
              <w:spacing w:before="20" w:after="20"/>
              <w:jc w:val="center"/>
            </w:pPr>
            <w:r>
              <w:rPr>
                <w:sz w:val="16"/>
                <w:szCs w:val="16"/>
              </w:rPr>
              <w:t>Energy</w:t>
            </w:r>
          </w:p>
        </w:tc>
        <w:tc>
          <w:tcPr>
            <w:tcW w:w="1301" w:type="dxa"/>
            <w:vAlign w:val="center"/>
          </w:tcPr>
          <w:p w14:paraId="16342B89" w14:textId="77777777" w:rsidR="004657BA" w:rsidRDefault="004657BA" w:rsidP="00E13005">
            <w:pPr>
              <w:spacing w:before="20" w:after="20"/>
              <w:jc w:val="center"/>
            </w:pPr>
            <w:r>
              <w:rPr>
                <w:sz w:val="16"/>
                <w:szCs w:val="16"/>
              </w:rPr>
              <w:t>61.7%</w:t>
            </w:r>
          </w:p>
        </w:tc>
        <w:tc>
          <w:tcPr>
            <w:tcW w:w="1148" w:type="dxa"/>
            <w:vAlign w:val="center"/>
          </w:tcPr>
          <w:p w14:paraId="6A76D48C" w14:textId="77777777" w:rsidR="004657BA" w:rsidRDefault="004657BA" w:rsidP="00E13005">
            <w:pPr>
              <w:spacing w:before="20" w:after="20"/>
              <w:jc w:val="center"/>
            </w:pPr>
            <w:r>
              <w:rPr>
                <w:sz w:val="16"/>
                <w:szCs w:val="16"/>
              </w:rPr>
              <w:t>0.6036</w:t>
            </w:r>
          </w:p>
        </w:tc>
      </w:tr>
      <w:tr w:rsidR="004657BA" w14:paraId="7B69B233" w14:textId="77777777" w:rsidTr="00E13005">
        <w:trPr>
          <w:jc w:val="center"/>
        </w:trPr>
        <w:tc>
          <w:tcPr>
            <w:tcW w:w="2663" w:type="dxa"/>
            <w:vAlign w:val="center"/>
          </w:tcPr>
          <w:p w14:paraId="7F5FFBA5" w14:textId="77777777" w:rsidR="004657BA" w:rsidRDefault="004657BA" w:rsidP="00E13005">
            <w:pPr>
              <w:spacing w:before="20" w:after="20"/>
              <w:jc w:val="center"/>
            </w:pPr>
            <w:r>
              <w:rPr>
                <w:sz w:val="16"/>
                <w:szCs w:val="16"/>
              </w:rPr>
              <w:t>Communication Services</w:t>
            </w:r>
          </w:p>
        </w:tc>
        <w:tc>
          <w:tcPr>
            <w:tcW w:w="1301" w:type="dxa"/>
            <w:vAlign w:val="center"/>
          </w:tcPr>
          <w:p w14:paraId="2045E77F" w14:textId="77777777" w:rsidR="004657BA" w:rsidRDefault="004657BA" w:rsidP="00E13005">
            <w:pPr>
              <w:spacing w:before="20" w:after="20"/>
              <w:jc w:val="center"/>
            </w:pPr>
            <w:r>
              <w:rPr>
                <w:sz w:val="16"/>
                <w:szCs w:val="16"/>
              </w:rPr>
              <w:t>59.5%</w:t>
            </w:r>
          </w:p>
        </w:tc>
        <w:tc>
          <w:tcPr>
            <w:tcW w:w="1148" w:type="dxa"/>
            <w:vAlign w:val="center"/>
          </w:tcPr>
          <w:p w14:paraId="34CEC509" w14:textId="77777777" w:rsidR="004657BA" w:rsidRDefault="004657BA" w:rsidP="00E13005">
            <w:pPr>
              <w:spacing w:before="20" w:after="20"/>
              <w:jc w:val="center"/>
            </w:pPr>
            <w:r>
              <w:rPr>
                <w:sz w:val="16"/>
                <w:szCs w:val="16"/>
              </w:rPr>
              <w:t>0.6059</w:t>
            </w:r>
          </w:p>
        </w:tc>
      </w:tr>
      <w:tr w:rsidR="004657BA" w14:paraId="5F320642" w14:textId="77777777" w:rsidTr="00E13005">
        <w:trPr>
          <w:jc w:val="center"/>
        </w:trPr>
        <w:tc>
          <w:tcPr>
            <w:tcW w:w="2663" w:type="dxa"/>
            <w:vAlign w:val="center"/>
          </w:tcPr>
          <w:p w14:paraId="20E636C1" w14:textId="77777777" w:rsidR="004657BA" w:rsidRDefault="004657BA" w:rsidP="00E13005">
            <w:pPr>
              <w:spacing w:before="20" w:after="20"/>
              <w:jc w:val="center"/>
            </w:pPr>
            <w:r>
              <w:rPr>
                <w:sz w:val="16"/>
                <w:szCs w:val="16"/>
              </w:rPr>
              <w:t>Real Estate</w:t>
            </w:r>
          </w:p>
        </w:tc>
        <w:tc>
          <w:tcPr>
            <w:tcW w:w="1301" w:type="dxa"/>
            <w:vAlign w:val="center"/>
          </w:tcPr>
          <w:p w14:paraId="3ACF5711" w14:textId="77777777" w:rsidR="004657BA" w:rsidRDefault="004657BA" w:rsidP="00E13005">
            <w:pPr>
              <w:spacing w:before="20" w:after="20"/>
              <w:jc w:val="center"/>
            </w:pPr>
            <w:r>
              <w:rPr>
                <w:sz w:val="16"/>
                <w:szCs w:val="16"/>
              </w:rPr>
              <w:t>59.5%</w:t>
            </w:r>
          </w:p>
        </w:tc>
        <w:tc>
          <w:tcPr>
            <w:tcW w:w="1148" w:type="dxa"/>
            <w:vAlign w:val="center"/>
          </w:tcPr>
          <w:p w14:paraId="3F4BEF8F" w14:textId="77777777" w:rsidR="004657BA" w:rsidRDefault="004657BA" w:rsidP="00E13005">
            <w:pPr>
              <w:spacing w:before="20" w:after="20"/>
              <w:jc w:val="center"/>
            </w:pPr>
            <w:r>
              <w:rPr>
                <w:sz w:val="16"/>
                <w:szCs w:val="16"/>
              </w:rPr>
              <w:t>0.6010</w:t>
            </w:r>
          </w:p>
        </w:tc>
      </w:tr>
      <w:tr w:rsidR="004657BA" w14:paraId="171CF0A9" w14:textId="77777777" w:rsidTr="00E13005">
        <w:trPr>
          <w:jc w:val="center"/>
        </w:trPr>
        <w:tc>
          <w:tcPr>
            <w:tcW w:w="2663" w:type="dxa"/>
            <w:vAlign w:val="center"/>
          </w:tcPr>
          <w:p w14:paraId="1D26EC7E" w14:textId="77777777" w:rsidR="004657BA" w:rsidRDefault="004657BA" w:rsidP="00E13005">
            <w:pPr>
              <w:spacing w:before="20" w:after="20"/>
              <w:jc w:val="center"/>
            </w:pPr>
            <w:r>
              <w:rPr>
                <w:sz w:val="16"/>
                <w:szCs w:val="16"/>
              </w:rPr>
              <w:t>Consumer Staples</w:t>
            </w:r>
          </w:p>
        </w:tc>
        <w:tc>
          <w:tcPr>
            <w:tcW w:w="1301" w:type="dxa"/>
            <w:vAlign w:val="center"/>
          </w:tcPr>
          <w:p w14:paraId="794B616E" w14:textId="77777777" w:rsidR="004657BA" w:rsidRDefault="004657BA" w:rsidP="00E13005">
            <w:pPr>
              <w:spacing w:before="20" w:after="20"/>
              <w:jc w:val="center"/>
            </w:pPr>
            <w:r>
              <w:rPr>
                <w:sz w:val="16"/>
                <w:szCs w:val="16"/>
              </w:rPr>
              <w:t>55.7%</w:t>
            </w:r>
          </w:p>
        </w:tc>
        <w:tc>
          <w:tcPr>
            <w:tcW w:w="1148" w:type="dxa"/>
            <w:vAlign w:val="center"/>
          </w:tcPr>
          <w:p w14:paraId="5BE5B9FC" w14:textId="77777777" w:rsidR="004657BA" w:rsidRDefault="004657BA" w:rsidP="00E13005">
            <w:pPr>
              <w:spacing w:before="20" w:after="20"/>
              <w:jc w:val="center"/>
            </w:pPr>
            <w:r>
              <w:rPr>
                <w:sz w:val="16"/>
                <w:szCs w:val="16"/>
              </w:rPr>
              <w:t>0.5510</w:t>
            </w:r>
          </w:p>
        </w:tc>
      </w:tr>
      <w:tr w:rsidR="004657BA" w14:paraId="5335C798" w14:textId="77777777" w:rsidTr="00E13005">
        <w:trPr>
          <w:jc w:val="center"/>
        </w:trPr>
        <w:tc>
          <w:tcPr>
            <w:tcW w:w="2663" w:type="dxa"/>
            <w:vAlign w:val="center"/>
          </w:tcPr>
          <w:p w14:paraId="4C493D63" w14:textId="77777777" w:rsidR="004657BA" w:rsidRDefault="004657BA" w:rsidP="00E13005">
            <w:pPr>
              <w:spacing w:before="20" w:after="20"/>
              <w:jc w:val="center"/>
            </w:pPr>
            <w:r>
              <w:rPr>
                <w:sz w:val="16"/>
                <w:szCs w:val="16"/>
              </w:rPr>
              <w:t>Financials</w:t>
            </w:r>
          </w:p>
        </w:tc>
        <w:tc>
          <w:tcPr>
            <w:tcW w:w="1301" w:type="dxa"/>
            <w:vAlign w:val="center"/>
          </w:tcPr>
          <w:p w14:paraId="30C4EF6F" w14:textId="77777777" w:rsidR="004657BA" w:rsidRDefault="004657BA" w:rsidP="00E13005">
            <w:pPr>
              <w:spacing w:before="20" w:after="20"/>
              <w:jc w:val="center"/>
            </w:pPr>
            <w:r>
              <w:rPr>
                <w:sz w:val="16"/>
                <w:szCs w:val="16"/>
              </w:rPr>
              <w:t>55.0%</w:t>
            </w:r>
          </w:p>
        </w:tc>
        <w:tc>
          <w:tcPr>
            <w:tcW w:w="1148" w:type="dxa"/>
            <w:vAlign w:val="center"/>
          </w:tcPr>
          <w:p w14:paraId="0E224174" w14:textId="77777777" w:rsidR="004657BA" w:rsidRDefault="004657BA" w:rsidP="00E13005">
            <w:pPr>
              <w:spacing w:before="20" w:after="20"/>
              <w:jc w:val="center"/>
            </w:pPr>
            <w:r>
              <w:rPr>
                <w:sz w:val="16"/>
                <w:szCs w:val="16"/>
              </w:rPr>
              <w:t>0.5350</w:t>
            </w:r>
          </w:p>
        </w:tc>
      </w:tr>
      <w:tr w:rsidR="004657BA" w14:paraId="5CB44302" w14:textId="77777777" w:rsidTr="00E13005">
        <w:trPr>
          <w:jc w:val="center"/>
        </w:trPr>
        <w:tc>
          <w:tcPr>
            <w:tcW w:w="2663" w:type="dxa"/>
            <w:vAlign w:val="center"/>
          </w:tcPr>
          <w:p w14:paraId="513704DC" w14:textId="77777777" w:rsidR="004657BA" w:rsidRDefault="004657BA" w:rsidP="00E13005">
            <w:pPr>
              <w:spacing w:before="20" w:after="20"/>
              <w:jc w:val="center"/>
            </w:pPr>
            <w:r>
              <w:rPr>
                <w:sz w:val="16"/>
                <w:szCs w:val="16"/>
              </w:rPr>
              <w:t>Industrials</w:t>
            </w:r>
          </w:p>
        </w:tc>
        <w:tc>
          <w:tcPr>
            <w:tcW w:w="1301" w:type="dxa"/>
            <w:vAlign w:val="center"/>
          </w:tcPr>
          <w:p w14:paraId="46C24250" w14:textId="77777777" w:rsidR="004657BA" w:rsidRDefault="004657BA" w:rsidP="00E13005">
            <w:pPr>
              <w:spacing w:before="20" w:after="20"/>
              <w:jc w:val="center"/>
            </w:pPr>
            <w:r>
              <w:rPr>
                <w:sz w:val="16"/>
                <w:szCs w:val="16"/>
              </w:rPr>
              <w:t>54.5%</w:t>
            </w:r>
          </w:p>
        </w:tc>
        <w:tc>
          <w:tcPr>
            <w:tcW w:w="1148" w:type="dxa"/>
            <w:vAlign w:val="center"/>
          </w:tcPr>
          <w:p w14:paraId="2576E176" w14:textId="77777777" w:rsidR="004657BA" w:rsidRDefault="004657BA" w:rsidP="00E13005">
            <w:pPr>
              <w:spacing w:before="20" w:after="20"/>
              <w:jc w:val="center"/>
            </w:pPr>
            <w:r>
              <w:rPr>
                <w:sz w:val="16"/>
                <w:szCs w:val="16"/>
              </w:rPr>
              <w:t>0.5350</w:t>
            </w:r>
          </w:p>
        </w:tc>
      </w:tr>
      <w:tr w:rsidR="004657BA" w14:paraId="720EC12E" w14:textId="77777777" w:rsidTr="00E13005">
        <w:trPr>
          <w:jc w:val="center"/>
        </w:trPr>
        <w:tc>
          <w:tcPr>
            <w:tcW w:w="2663" w:type="dxa"/>
            <w:vAlign w:val="center"/>
          </w:tcPr>
          <w:p w14:paraId="0A7B8716" w14:textId="77777777" w:rsidR="004657BA" w:rsidRDefault="004657BA" w:rsidP="00E13005">
            <w:pPr>
              <w:spacing w:before="20" w:after="20"/>
              <w:jc w:val="center"/>
            </w:pPr>
            <w:r>
              <w:rPr>
                <w:sz w:val="16"/>
                <w:szCs w:val="16"/>
              </w:rPr>
              <w:t>Utilities</w:t>
            </w:r>
          </w:p>
        </w:tc>
        <w:tc>
          <w:tcPr>
            <w:tcW w:w="1301" w:type="dxa"/>
            <w:vAlign w:val="center"/>
          </w:tcPr>
          <w:p w14:paraId="3FFA04EC" w14:textId="77777777" w:rsidR="004657BA" w:rsidRDefault="004657BA" w:rsidP="00E13005">
            <w:pPr>
              <w:spacing w:before="20" w:after="20"/>
              <w:jc w:val="center"/>
            </w:pPr>
            <w:r>
              <w:rPr>
                <w:sz w:val="16"/>
                <w:szCs w:val="16"/>
              </w:rPr>
              <w:t>54.5%</w:t>
            </w:r>
          </w:p>
        </w:tc>
        <w:tc>
          <w:tcPr>
            <w:tcW w:w="1148" w:type="dxa"/>
            <w:vAlign w:val="center"/>
          </w:tcPr>
          <w:p w14:paraId="759BB8D5" w14:textId="77777777" w:rsidR="004657BA" w:rsidRDefault="004657BA" w:rsidP="00E13005">
            <w:pPr>
              <w:spacing w:before="20" w:after="20"/>
              <w:jc w:val="center"/>
            </w:pPr>
            <w:r>
              <w:rPr>
                <w:sz w:val="16"/>
                <w:szCs w:val="16"/>
              </w:rPr>
              <w:t>0.5420</w:t>
            </w:r>
          </w:p>
        </w:tc>
      </w:tr>
      <w:tr w:rsidR="004657BA" w14:paraId="01AABCA2" w14:textId="77777777" w:rsidTr="00E13005">
        <w:trPr>
          <w:jc w:val="center"/>
        </w:trPr>
        <w:tc>
          <w:tcPr>
            <w:tcW w:w="2663" w:type="dxa"/>
            <w:vAlign w:val="center"/>
          </w:tcPr>
          <w:p w14:paraId="3B160104" w14:textId="77777777" w:rsidR="004657BA" w:rsidRDefault="004657BA" w:rsidP="00E13005">
            <w:pPr>
              <w:spacing w:before="20" w:after="20"/>
              <w:jc w:val="center"/>
            </w:pPr>
            <w:r>
              <w:rPr>
                <w:sz w:val="16"/>
                <w:szCs w:val="16"/>
              </w:rPr>
              <w:t>Health Care</w:t>
            </w:r>
          </w:p>
        </w:tc>
        <w:tc>
          <w:tcPr>
            <w:tcW w:w="1301" w:type="dxa"/>
            <w:vAlign w:val="center"/>
          </w:tcPr>
          <w:p w14:paraId="5631C14E" w14:textId="77777777" w:rsidR="004657BA" w:rsidRDefault="004657BA" w:rsidP="00E13005">
            <w:pPr>
              <w:spacing w:before="20" w:after="20"/>
              <w:jc w:val="center"/>
            </w:pPr>
            <w:r>
              <w:rPr>
                <w:sz w:val="16"/>
                <w:szCs w:val="16"/>
              </w:rPr>
              <w:t>54.3%</w:t>
            </w:r>
          </w:p>
        </w:tc>
        <w:tc>
          <w:tcPr>
            <w:tcW w:w="1148" w:type="dxa"/>
            <w:vAlign w:val="center"/>
          </w:tcPr>
          <w:p w14:paraId="4DD1B8C8" w14:textId="77777777" w:rsidR="004657BA" w:rsidRDefault="004657BA" w:rsidP="00E13005">
            <w:pPr>
              <w:spacing w:before="20" w:after="20"/>
              <w:jc w:val="center"/>
            </w:pPr>
            <w:r>
              <w:rPr>
                <w:sz w:val="16"/>
                <w:szCs w:val="16"/>
              </w:rPr>
              <w:t>0.5578</w:t>
            </w:r>
          </w:p>
        </w:tc>
      </w:tr>
      <w:tr w:rsidR="004657BA" w14:paraId="6620A8F9" w14:textId="77777777" w:rsidTr="00E13005">
        <w:trPr>
          <w:jc w:val="center"/>
        </w:trPr>
        <w:tc>
          <w:tcPr>
            <w:tcW w:w="2663" w:type="dxa"/>
            <w:vAlign w:val="center"/>
          </w:tcPr>
          <w:p w14:paraId="0E133C84" w14:textId="77777777" w:rsidR="004657BA" w:rsidRDefault="004657BA" w:rsidP="00E13005">
            <w:pPr>
              <w:spacing w:before="20" w:after="20"/>
              <w:jc w:val="center"/>
            </w:pPr>
            <w:r>
              <w:rPr>
                <w:sz w:val="16"/>
                <w:szCs w:val="16"/>
              </w:rPr>
              <w:t>Consumer Discretionary</w:t>
            </w:r>
          </w:p>
        </w:tc>
        <w:tc>
          <w:tcPr>
            <w:tcW w:w="1301" w:type="dxa"/>
            <w:vAlign w:val="center"/>
          </w:tcPr>
          <w:p w14:paraId="13054722" w14:textId="77777777" w:rsidR="004657BA" w:rsidRDefault="004657BA" w:rsidP="00E13005">
            <w:pPr>
              <w:spacing w:before="20" w:after="20"/>
              <w:jc w:val="center"/>
            </w:pPr>
            <w:r>
              <w:rPr>
                <w:sz w:val="16"/>
                <w:szCs w:val="16"/>
              </w:rPr>
              <w:t>54.1%</w:t>
            </w:r>
          </w:p>
        </w:tc>
        <w:tc>
          <w:tcPr>
            <w:tcW w:w="1148" w:type="dxa"/>
            <w:vAlign w:val="center"/>
          </w:tcPr>
          <w:p w14:paraId="4C86B027" w14:textId="77777777" w:rsidR="004657BA" w:rsidRDefault="004657BA" w:rsidP="00E13005">
            <w:pPr>
              <w:spacing w:before="20" w:after="20"/>
              <w:jc w:val="center"/>
            </w:pPr>
            <w:r>
              <w:rPr>
                <w:sz w:val="16"/>
                <w:szCs w:val="16"/>
              </w:rPr>
              <w:t>0.5305</w:t>
            </w:r>
          </w:p>
        </w:tc>
      </w:tr>
      <w:tr w:rsidR="004657BA" w14:paraId="7BD59DA5" w14:textId="77777777" w:rsidTr="00E13005">
        <w:trPr>
          <w:jc w:val="center"/>
        </w:trPr>
        <w:tc>
          <w:tcPr>
            <w:tcW w:w="2663" w:type="dxa"/>
            <w:vAlign w:val="center"/>
          </w:tcPr>
          <w:p w14:paraId="0DFF4C60" w14:textId="77777777" w:rsidR="004657BA" w:rsidRDefault="004657BA" w:rsidP="00E13005">
            <w:pPr>
              <w:spacing w:before="20" w:after="20"/>
              <w:jc w:val="center"/>
            </w:pPr>
            <w:r>
              <w:rPr>
                <w:sz w:val="16"/>
                <w:szCs w:val="16"/>
              </w:rPr>
              <w:t>Information Technology</w:t>
            </w:r>
          </w:p>
        </w:tc>
        <w:tc>
          <w:tcPr>
            <w:tcW w:w="1301" w:type="dxa"/>
            <w:vAlign w:val="center"/>
          </w:tcPr>
          <w:p w14:paraId="1621B247" w14:textId="77777777" w:rsidR="004657BA" w:rsidRDefault="004657BA" w:rsidP="00E13005">
            <w:pPr>
              <w:spacing w:before="20" w:after="20"/>
              <w:jc w:val="center"/>
            </w:pPr>
            <w:r>
              <w:rPr>
                <w:sz w:val="16"/>
                <w:szCs w:val="16"/>
              </w:rPr>
              <w:t>53.2%</w:t>
            </w:r>
          </w:p>
        </w:tc>
        <w:tc>
          <w:tcPr>
            <w:tcW w:w="1148" w:type="dxa"/>
            <w:vAlign w:val="center"/>
          </w:tcPr>
          <w:p w14:paraId="25C11880" w14:textId="77777777" w:rsidR="004657BA" w:rsidRDefault="004657BA" w:rsidP="00E13005">
            <w:pPr>
              <w:spacing w:before="20" w:after="20"/>
              <w:jc w:val="center"/>
            </w:pPr>
            <w:r>
              <w:rPr>
                <w:sz w:val="16"/>
                <w:szCs w:val="16"/>
              </w:rPr>
              <w:t>0.5420</w:t>
            </w:r>
          </w:p>
        </w:tc>
      </w:tr>
      <w:tr w:rsidR="004657BA" w14:paraId="09FA3CC6" w14:textId="77777777" w:rsidTr="00E13005">
        <w:trPr>
          <w:jc w:val="center"/>
        </w:trPr>
        <w:tc>
          <w:tcPr>
            <w:tcW w:w="2663" w:type="dxa"/>
            <w:vAlign w:val="center"/>
          </w:tcPr>
          <w:p w14:paraId="4D0DB728" w14:textId="77777777" w:rsidR="004657BA" w:rsidRDefault="004657BA" w:rsidP="00E13005">
            <w:pPr>
              <w:spacing w:before="20" w:after="20"/>
              <w:jc w:val="center"/>
            </w:pPr>
            <w:r>
              <w:rPr>
                <w:sz w:val="16"/>
                <w:szCs w:val="16"/>
              </w:rPr>
              <w:t>Materials</w:t>
            </w:r>
          </w:p>
        </w:tc>
        <w:tc>
          <w:tcPr>
            <w:tcW w:w="1301" w:type="dxa"/>
            <w:vAlign w:val="center"/>
          </w:tcPr>
          <w:p w14:paraId="223848E2" w14:textId="77777777" w:rsidR="004657BA" w:rsidRDefault="004657BA" w:rsidP="00E13005">
            <w:pPr>
              <w:spacing w:before="20" w:after="20"/>
              <w:jc w:val="center"/>
            </w:pPr>
            <w:r>
              <w:rPr>
                <w:sz w:val="16"/>
                <w:szCs w:val="16"/>
              </w:rPr>
              <w:t>53.2%</w:t>
            </w:r>
          </w:p>
        </w:tc>
        <w:tc>
          <w:tcPr>
            <w:tcW w:w="1148" w:type="dxa"/>
            <w:vAlign w:val="center"/>
          </w:tcPr>
          <w:p w14:paraId="6450C74A" w14:textId="77777777" w:rsidR="004657BA" w:rsidRDefault="004657BA" w:rsidP="00E13005">
            <w:pPr>
              <w:spacing w:before="20" w:after="20"/>
              <w:jc w:val="center"/>
            </w:pPr>
            <w:r>
              <w:rPr>
                <w:sz w:val="16"/>
                <w:szCs w:val="16"/>
              </w:rPr>
              <w:t>0.5481</w:t>
            </w:r>
          </w:p>
        </w:tc>
      </w:tr>
    </w:tbl>
    <w:p w14:paraId="79206E3B" w14:textId="77777777" w:rsidR="003A3E24" w:rsidRDefault="003A3E24" w:rsidP="004657BA">
      <w:pPr>
        <w:jc w:val="both"/>
      </w:pPr>
    </w:p>
    <w:p w14:paraId="4E5FCFE3" w14:textId="77777777" w:rsidR="003A3E24" w:rsidRDefault="003A3E24" w:rsidP="004657BA">
      <w:pPr>
        <w:jc w:val="both"/>
      </w:pPr>
    </w:p>
    <w:p w14:paraId="357E77D8" w14:textId="1C4989CA" w:rsidR="00B67E22" w:rsidRDefault="004657BA" w:rsidP="00B67E22">
      <w:pPr>
        <w:ind w:firstLine="360"/>
        <w:jc w:val="both"/>
      </w:pPr>
      <w:r>
        <w:t xml:space="preserve">The best single configuration across all </w:t>
      </w:r>
      <w:r w:rsidR="00536B16">
        <w:t>models</w:t>
      </w:r>
      <w:r>
        <w:t xml:space="preserve"> tested is </w:t>
      </w:r>
      <w:r w:rsidR="003A3E24">
        <w:t xml:space="preserve">the </w:t>
      </w:r>
      <w:r w:rsidR="00536B16">
        <w:t xml:space="preserve">Energy </w:t>
      </w:r>
      <w:r w:rsidR="003A3E24">
        <w:t xml:space="preserve">sector model with </w:t>
      </w:r>
      <w:r w:rsidR="00536B16">
        <w:t>61.7% accuracy and .060 AUC</w:t>
      </w:r>
      <w:r>
        <w:t>.</w:t>
      </w:r>
      <w:r w:rsidR="00B67E22">
        <w:t xml:space="preserve"> Splitting by market capitalization, as seen in Table VI, marginally increased accuracy against the global model, but not as much as the market segmentation did.</w:t>
      </w:r>
    </w:p>
    <w:p w14:paraId="1497AEC6" w14:textId="77777777" w:rsidR="00B67E22" w:rsidRDefault="00B67E22" w:rsidP="00B67E22">
      <w:pPr>
        <w:ind w:firstLine="360"/>
        <w:jc w:val="both"/>
      </w:pPr>
    </w:p>
    <w:p w14:paraId="06B9DAFE" w14:textId="77777777" w:rsidR="00B67E22" w:rsidRDefault="00B67E22" w:rsidP="00B67E22">
      <w:pPr>
        <w:spacing w:before="120" w:after="20"/>
        <w:jc w:val="center"/>
      </w:pPr>
      <w:r>
        <w:rPr>
          <w:smallCaps/>
        </w:rPr>
        <w:t>TABLE VI</w:t>
      </w:r>
    </w:p>
    <w:p w14:paraId="2312EB30" w14:textId="77777777" w:rsidR="00B67E22" w:rsidRDefault="00B67E22" w:rsidP="00B67E22">
      <w:pPr>
        <w:spacing w:before="20" w:after="60"/>
        <w:jc w:val="center"/>
      </w:pPr>
      <w:r>
        <w:rPr>
          <w:smallCaps/>
          <w:sz w:val="16"/>
          <w:szCs w:val="16"/>
        </w:rPr>
        <w:t>Logistic Regression Results by Market Capitalization</w:t>
      </w:r>
    </w:p>
    <w:tbl>
      <w:tblPr>
        <w:tblW w:w="5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3"/>
        <w:gridCol w:w="1301"/>
        <w:gridCol w:w="1148"/>
      </w:tblGrid>
      <w:tr w:rsidR="00B67E22" w14:paraId="5518916B" w14:textId="77777777" w:rsidTr="00E13005">
        <w:trPr>
          <w:jc w:val="center"/>
        </w:trPr>
        <w:tc>
          <w:tcPr>
            <w:tcW w:w="2663" w:type="dxa"/>
            <w:vAlign w:val="center"/>
          </w:tcPr>
          <w:p w14:paraId="27D54AA9" w14:textId="77777777" w:rsidR="00B67E22" w:rsidRDefault="00B67E22" w:rsidP="00E13005">
            <w:pPr>
              <w:spacing w:before="20" w:after="20"/>
              <w:jc w:val="center"/>
            </w:pPr>
            <w:r>
              <w:rPr>
                <w:b/>
                <w:bCs/>
                <w:sz w:val="16"/>
                <w:szCs w:val="16"/>
              </w:rPr>
              <w:t>Market Capitalization</w:t>
            </w:r>
          </w:p>
        </w:tc>
        <w:tc>
          <w:tcPr>
            <w:tcW w:w="1301" w:type="dxa"/>
            <w:vAlign w:val="center"/>
          </w:tcPr>
          <w:p w14:paraId="3C9DEE0A" w14:textId="77777777" w:rsidR="00B67E22" w:rsidRDefault="00B67E22" w:rsidP="00E13005">
            <w:pPr>
              <w:spacing w:before="20" w:after="20"/>
              <w:jc w:val="center"/>
            </w:pPr>
            <w:r>
              <w:rPr>
                <w:b/>
                <w:bCs/>
                <w:sz w:val="16"/>
                <w:szCs w:val="16"/>
              </w:rPr>
              <w:t>Accuracy</w:t>
            </w:r>
          </w:p>
        </w:tc>
        <w:tc>
          <w:tcPr>
            <w:tcW w:w="1148" w:type="dxa"/>
            <w:vAlign w:val="center"/>
          </w:tcPr>
          <w:p w14:paraId="11C1DBC3" w14:textId="77777777" w:rsidR="00B67E22" w:rsidRDefault="00B67E22" w:rsidP="00E13005">
            <w:pPr>
              <w:spacing w:before="20" w:after="20"/>
              <w:jc w:val="center"/>
            </w:pPr>
            <w:r>
              <w:rPr>
                <w:b/>
                <w:bCs/>
                <w:sz w:val="16"/>
                <w:szCs w:val="16"/>
              </w:rPr>
              <w:t>AUC</w:t>
            </w:r>
          </w:p>
        </w:tc>
      </w:tr>
      <w:tr w:rsidR="00B67E22" w14:paraId="40E6C0AE" w14:textId="77777777" w:rsidTr="00E13005">
        <w:trPr>
          <w:jc w:val="center"/>
        </w:trPr>
        <w:tc>
          <w:tcPr>
            <w:tcW w:w="2663" w:type="dxa"/>
            <w:vAlign w:val="center"/>
          </w:tcPr>
          <w:p w14:paraId="2A8F9DF3" w14:textId="77777777" w:rsidR="00B67E22" w:rsidRDefault="00B67E22" w:rsidP="00E13005">
            <w:pPr>
              <w:spacing w:before="20" w:after="20"/>
              <w:jc w:val="center"/>
            </w:pPr>
            <w:r>
              <w:rPr>
                <w:sz w:val="16"/>
                <w:szCs w:val="16"/>
              </w:rPr>
              <w:t>Small Cap</w:t>
            </w:r>
          </w:p>
        </w:tc>
        <w:tc>
          <w:tcPr>
            <w:tcW w:w="1301" w:type="dxa"/>
            <w:vAlign w:val="center"/>
          </w:tcPr>
          <w:p w14:paraId="62AB3237" w14:textId="77777777" w:rsidR="00B67E22" w:rsidRDefault="00B67E22" w:rsidP="00E13005">
            <w:pPr>
              <w:spacing w:before="20" w:after="20"/>
              <w:jc w:val="center"/>
            </w:pPr>
            <w:r>
              <w:rPr>
                <w:sz w:val="16"/>
                <w:szCs w:val="16"/>
              </w:rPr>
              <w:t>54.5%</w:t>
            </w:r>
          </w:p>
        </w:tc>
        <w:tc>
          <w:tcPr>
            <w:tcW w:w="1148" w:type="dxa"/>
            <w:vAlign w:val="center"/>
          </w:tcPr>
          <w:p w14:paraId="5CB257FF" w14:textId="77777777" w:rsidR="00B67E22" w:rsidRDefault="00B67E22" w:rsidP="00E13005">
            <w:pPr>
              <w:spacing w:before="20" w:after="20"/>
              <w:jc w:val="center"/>
            </w:pPr>
            <w:r>
              <w:rPr>
                <w:sz w:val="16"/>
                <w:szCs w:val="16"/>
              </w:rPr>
              <w:t>0.6036</w:t>
            </w:r>
          </w:p>
        </w:tc>
      </w:tr>
      <w:tr w:rsidR="00B67E22" w14:paraId="5BB278B9" w14:textId="77777777" w:rsidTr="00E13005">
        <w:trPr>
          <w:jc w:val="center"/>
        </w:trPr>
        <w:tc>
          <w:tcPr>
            <w:tcW w:w="2663" w:type="dxa"/>
            <w:vAlign w:val="center"/>
          </w:tcPr>
          <w:p w14:paraId="6F7AB464" w14:textId="77777777" w:rsidR="00B67E22" w:rsidRDefault="00B67E22" w:rsidP="00E13005">
            <w:pPr>
              <w:spacing w:before="20" w:after="20"/>
              <w:jc w:val="center"/>
            </w:pPr>
            <w:r>
              <w:rPr>
                <w:sz w:val="16"/>
                <w:szCs w:val="16"/>
              </w:rPr>
              <w:t>Large Cap</w:t>
            </w:r>
          </w:p>
        </w:tc>
        <w:tc>
          <w:tcPr>
            <w:tcW w:w="1301" w:type="dxa"/>
            <w:vAlign w:val="center"/>
          </w:tcPr>
          <w:p w14:paraId="516750B8" w14:textId="77777777" w:rsidR="00B67E22" w:rsidRDefault="00B67E22" w:rsidP="00E13005">
            <w:pPr>
              <w:spacing w:before="20" w:after="20"/>
              <w:jc w:val="center"/>
            </w:pPr>
            <w:r>
              <w:rPr>
                <w:sz w:val="16"/>
                <w:szCs w:val="16"/>
              </w:rPr>
              <w:t>54.2%</w:t>
            </w:r>
          </w:p>
        </w:tc>
        <w:tc>
          <w:tcPr>
            <w:tcW w:w="1148" w:type="dxa"/>
            <w:vAlign w:val="center"/>
          </w:tcPr>
          <w:p w14:paraId="03908E5F" w14:textId="77777777" w:rsidR="00B67E22" w:rsidRDefault="00B67E22" w:rsidP="00E13005">
            <w:pPr>
              <w:spacing w:before="20" w:after="20"/>
              <w:jc w:val="center"/>
            </w:pPr>
            <w:r>
              <w:rPr>
                <w:sz w:val="16"/>
                <w:szCs w:val="16"/>
              </w:rPr>
              <w:t>0.6059</w:t>
            </w:r>
          </w:p>
        </w:tc>
      </w:tr>
      <w:tr w:rsidR="00B67E22" w14:paraId="31E794F0" w14:textId="77777777" w:rsidTr="00E13005">
        <w:trPr>
          <w:jc w:val="center"/>
        </w:trPr>
        <w:tc>
          <w:tcPr>
            <w:tcW w:w="2663" w:type="dxa"/>
            <w:vAlign w:val="center"/>
          </w:tcPr>
          <w:p w14:paraId="68CE4378" w14:textId="77777777" w:rsidR="00B67E22" w:rsidRDefault="00B67E22" w:rsidP="00E13005">
            <w:pPr>
              <w:spacing w:before="20" w:after="20"/>
              <w:jc w:val="center"/>
            </w:pPr>
            <w:r>
              <w:rPr>
                <w:sz w:val="16"/>
                <w:szCs w:val="16"/>
              </w:rPr>
              <w:t>Mid Cap</w:t>
            </w:r>
          </w:p>
        </w:tc>
        <w:tc>
          <w:tcPr>
            <w:tcW w:w="1301" w:type="dxa"/>
            <w:vAlign w:val="center"/>
          </w:tcPr>
          <w:p w14:paraId="4BFF52DF" w14:textId="77777777" w:rsidR="00B67E22" w:rsidRDefault="00B67E22" w:rsidP="00E13005">
            <w:pPr>
              <w:spacing w:before="20" w:after="20"/>
              <w:jc w:val="center"/>
            </w:pPr>
            <w:r>
              <w:rPr>
                <w:sz w:val="16"/>
                <w:szCs w:val="16"/>
              </w:rPr>
              <w:t>52.8%</w:t>
            </w:r>
          </w:p>
        </w:tc>
        <w:tc>
          <w:tcPr>
            <w:tcW w:w="1148" w:type="dxa"/>
            <w:vAlign w:val="center"/>
          </w:tcPr>
          <w:p w14:paraId="1D1B0DA8" w14:textId="77777777" w:rsidR="00B67E22" w:rsidRDefault="00B67E22" w:rsidP="00E13005">
            <w:pPr>
              <w:spacing w:before="20" w:after="20"/>
              <w:jc w:val="center"/>
            </w:pPr>
            <w:r>
              <w:rPr>
                <w:sz w:val="16"/>
                <w:szCs w:val="16"/>
              </w:rPr>
              <w:t>0.6010</w:t>
            </w:r>
          </w:p>
        </w:tc>
      </w:tr>
    </w:tbl>
    <w:p w14:paraId="55B7C97E" w14:textId="77777777" w:rsidR="00B67E22" w:rsidRPr="004657BA" w:rsidRDefault="00B67E22" w:rsidP="00B67E22">
      <w:pPr>
        <w:jc w:val="both"/>
      </w:pPr>
    </w:p>
    <w:p w14:paraId="633A4409" w14:textId="58E12051" w:rsidR="005716B7" w:rsidRDefault="005716B7" w:rsidP="005716B7">
      <w:pPr>
        <w:spacing w:before="120" w:after="120"/>
        <w:rPr>
          <w:i/>
          <w:iCs/>
        </w:rPr>
      </w:pPr>
      <w:r>
        <w:rPr>
          <w:i/>
          <w:iCs/>
        </w:rPr>
        <w:t>III. Testing Dataset Performance</w:t>
      </w:r>
    </w:p>
    <w:p w14:paraId="0E69107B" w14:textId="2437D8E4" w:rsidR="003164F3" w:rsidRDefault="003164F3" w:rsidP="003164F3">
      <w:pPr>
        <w:jc w:val="both"/>
      </w:pPr>
      <w:r>
        <w:t>The model trained through Q4 2024 is applied to all four quarters of 2025 on 1,219 stock-quarter predictions. Figure VII shows the quarter-by-quarter accuracy trend. The anomalous Q1 2025 accuracy of 44.6% coincides with a broad market correction (S&amp;P 500 declined 4.6%), suggesting that extreme bear-market dynamics lie outside the distribution of the training data</w:t>
      </w:r>
      <w:r w:rsidR="00313B9B">
        <w:t xml:space="preserve">, even during the lengthy 15 year analysis </w:t>
      </w:r>
      <w:r>
        <w:t xml:space="preserve"> </w:t>
      </w:r>
      <w:r w:rsidR="00313B9B">
        <w:t xml:space="preserve">period. </w:t>
      </w:r>
      <w:r>
        <w:t xml:space="preserve">Accuracy </w:t>
      </w:r>
      <w:r w:rsidR="00313B9B">
        <w:t xml:space="preserve">then </w:t>
      </w:r>
      <w:r>
        <w:t>recovers to</w:t>
      </w:r>
      <w:r w:rsidR="00B67E22">
        <w:t xml:space="preserve"> a very reasonable</w:t>
      </w:r>
      <w:r>
        <w:t xml:space="preserve"> 55.3%-57.5% in subsequent quarters as market conditions normalize, which is better than the in-sample dataset accuracy of 52.5%</w:t>
      </w:r>
    </w:p>
    <w:p w14:paraId="54A9497C" w14:textId="77777777" w:rsidR="00D9226E" w:rsidRDefault="00D9226E" w:rsidP="003164F3">
      <w:pPr>
        <w:jc w:val="both"/>
      </w:pPr>
    </w:p>
    <w:p w14:paraId="0B415731" w14:textId="79A258F4" w:rsidR="00D9226E" w:rsidRPr="00B67E22" w:rsidRDefault="003164F3" w:rsidP="00B67E22">
      <w:pPr>
        <w:spacing w:before="120" w:after="40"/>
        <w:jc w:val="center"/>
      </w:pPr>
      <w:r>
        <w:rPr>
          <w:noProof/>
          <w:lang w:eastAsia="en-US"/>
        </w:rPr>
        <w:drawing>
          <wp:inline distT="0" distB="0" distL="0" distR="0" wp14:anchorId="06F9DA34" wp14:editId="3A34A188">
            <wp:extent cx="2926080" cy="2386669"/>
            <wp:effectExtent l="0" t="0" r="0" b="0"/>
            <wp:docPr id="55359198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2926080" cy="2386669"/>
                    </a:xfrm>
                    <a:prstGeom prst="rect">
                      <a:avLst/>
                    </a:prstGeom>
                    <a:ln/>
                  </pic:spPr>
                </pic:pic>
              </a:graphicData>
            </a:graphic>
          </wp:inline>
        </w:drawing>
      </w:r>
    </w:p>
    <w:p w14:paraId="649F4D5E" w14:textId="7D74F754" w:rsidR="003164F3" w:rsidRPr="00B67E22" w:rsidRDefault="003164F3" w:rsidP="003164F3">
      <w:pPr>
        <w:spacing w:before="40" w:after="20"/>
        <w:jc w:val="center"/>
      </w:pPr>
      <w:r w:rsidRPr="00B67E22">
        <w:rPr>
          <w:smallCaps/>
        </w:rPr>
        <w:t>FIGURE VII</w:t>
      </w:r>
    </w:p>
    <w:p w14:paraId="525B1819" w14:textId="4DD09FC7" w:rsidR="003164F3" w:rsidRDefault="003164F3" w:rsidP="003164F3">
      <w:pPr>
        <w:spacing w:before="20" w:after="120"/>
        <w:jc w:val="center"/>
        <w:rPr>
          <w:smallCaps/>
          <w:sz w:val="16"/>
          <w:szCs w:val="16"/>
        </w:rPr>
      </w:pPr>
      <w:r>
        <w:rPr>
          <w:smallCaps/>
          <w:sz w:val="16"/>
          <w:szCs w:val="16"/>
        </w:rPr>
        <w:t>2025 Out-of-Sample Prediction Accuracy by Quarter. Dashed Lines Indicate the Random Baseline (50%), Training Accuracy (53.2%), and Benchmark (71.2%)</w:t>
      </w:r>
    </w:p>
    <w:p w14:paraId="499F6C09" w14:textId="77777777" w:rsidR="00B67E22" w:rsidRDefault="00B67E22" w:rsidP="003164F3">
      <w:pPr>
        <w:spacing w:before="20" w:after="120"/>
        <w:jc w:val="center"/>
        <w:rPr>
          <w:smallCaps/>
          <w:sz w:val="16"/>
          <w:szCs w:val="16"/>
        </w:rPr>
      </w:pPr>
    </w:p>
    <w:p w14:paraId="0F2427B3" w14:textId="55228B3E" w:rsidR="00313B9B" w:rsidRPr="003164F3" w:rsidRDefault="00313B9B" w:rsidP="00313B9B">
      <w:pPr>
        <w:spacing w:before="20" w:after="120"/>
      </w:pPr>
      <w:r>
        <w:t xml:space="preserve">Although small, the better than random accuracy scores designate the model as useful. </w:t>
      </w:r>
    </w:p>
    <w:p w14:paraId="15EC285C" w14:textId="128A6A7D" w:rsidR="005716B7" w:rsidRDefault="005716B7" w:rsidP="005716B7">
      <w:pPr>
        <w:spacing w:before="120" w:after="120"/>
        <w:rPr>
          <w:i/>
          <w:iCs/>
        </w:rPr>
      </w:pPr>
      <w:r>
        <w:rPr>
          <w:i/>
          <w:iCs/>
        </w:rPr>
        <w:t>IV. Simulated Portfolio Performance</w:t>
      </w:r>
    </w:p>
    <w:p w14:paraId="448A4D76" w14:textId="6BB2F04E" w:rsidR="003164F3" w:rsidRDefault="003164F3" w:rsidP="003164F3">
      <w:pPr>
        <w:jc w:val="both"/>
      </w:pPr>
      <w:r>
        <w:t>A simulated portfolio is constructed each quarter by proportionally allocating said portfolio by market capitalization across all stocks predicted to outperform. Figure V compares these quarterly portfolio returns against S&amp;P 500 returns. Table VI</w:t>
      </w:r>
      <w:r w:rsidR="00B67E22">
        <w:t>I</w:t>
      </w:r>
      <w:r>
        <w:t xml:space="preserve"> reports quarterly performance statistics</w:t>
      </w:r>
      <w:r w:rsidR="00B67E22">
        <w:t xml:space="preserve"> for this full model result.</w:t>
      </w:r>
    </w:p>
    <w:p w14:paraId="2214BB6E" w14:textId="77777777" w:rsidR="00B67E22" w:rsidRDefault="00B67E22" w:rsidP="003164F3">
      <w:pPr>
        <w:jc w:val="both"/>
      </w:pPr>
    </w:p>
    <w:p w14:paraId="4B74E696" w14:textId="038D6162" w:rsidR="00D9226E" w:rsidRPr="00B67E22" w:rsidRDefault="003164F3" w:rsidP="00B67E22">
      <w:pPr>
        <w:spacing w:before="120" w:after="40"/>
        <w:jc w:val="center"/>
      </w:pPr>
      <w:r>
        <w:rPr>
          <w:noProof/>
          <w:lang w:eastAsia="en-US"/>
        </w:rPr>
        <w:drawing>
          <wp:inline distT="0" distB="0" distL="0" distR="0" wp14:anchorId="71A6989E" wp14:editId="1F39E7A0">
            <wp:extent cx="2926080" cy="2431279"/>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2926080" cy="2431279"/>
                    </a:xfrm>
                    <a:prstGeom prst="rect">
                      <a:avLst/>
                    </a:prstGeom>
                    <a:ln/>
                  </pic:spPr>
                </pic:pic>
              </a:graphicData>
            </a:graphic>
          </wp:inline>
        </w:drawing>
      </w:r>
    </w:p>
    <w:p w14:paraId="5915EE7F" w14:textId="620741D1" w:rsidR="003164F3" w:rsidRPr="00B67E22" w:rsidRDefault="003164F3" w:rsidP="003164F3">
      <w:pPr>
        <w:spacing w:before="40" w:after="20"/>
        <w:jc w:val="center"/>
      </w:pPr>
      <w:r w:rsidRPr="00B67E22">
        <w:rPr>
          <w:smallCaps/>
        </w:rPr>
        <w:t>FIGURE V</w:t>
      </w:r>
    </w:p>
    <w:p w14:paraId="396B701A" w14:textId="3AEC98AD" w:rsidR="003164F3" w:rsidRDefault="003164F3" w:rsidP="003164F3">
      <w:pPr>
        <w:spacing w:before="20" w:after="120"/>
        <w:jc w:val="center"/>
        <w:rPr>
          <w:smallCaps/>
          <w:sz w:val="16"/>
          <w:szCs w:val="16"/>
        </w:rPr>
      </w:pPr>
      <w:r>
        <w:rPr>
          <w:smallCaps/>
          <w:sz w:val="16"/>
          <w:szCs w:val="16"/>
        </w:rPr>
        <w:t>Simulated Model Performance Returns vs. S&amp;P 500 Returns for 2025, By Quarter</w:t>
      </w:r>
    </w:p>
    <w:p w14:paraId="5C73833F" w14:textId="77777777" w:rsidR="00D9226E" w:rsidRDefault="00D9226E" w:rsidP="003164F3">
      <w:pPr>
        <w:spacing w:before="20" w:after="120"/>
        <w:jc w:val="center"/>
      </w:pPr>
    </w:p>
    <w:p w14:paraId="68BF9AB9" w14:textId="77777777" w:rsidR="00911083" w:rsidRDefault="00911083" w:rsidP="003164F3">
      <w:pPr>
        <w:spacing w:before="120" w:after="20"/>
        <w:jc w:val="center"/>
        <w:rPr>
          <w:smallCaps/>
          <w:sz w:val="16"/>
          <w:szCs w:val="16"/>
        </w:rPr>
      </w:pPr>
    </w:p>
    <w:p w14:paraId="193B5DF7" w14:textId="77777777" w:rsidR="00911083" w:rsidRDefault="00911083" w:rsidP="003164F3">
      <w:pPr>
        <w:spacing w:before="120" w:after="20"/>
        <w:jc w:val="center"/>
        <w:rPr>
          <w:smallCaps/>
          <w:sz w:val="16"/>
          <w:szCs w:val="16"/>
        </w:rPr>
      </w:pPr>
    </w:p>
    <w:p w14:paraId="62798F99" w14:textId="77777777" w:rsidR="00911083" w:rsidRDefault="00911083" w:rsidP="003164F3">
      <w:pPr>
        <w:spacing w:before="120" w:after="20"/>
        <w:jc w:val="center"/>
        <w:rPr>
          <w:smallCaps/>
          <w:sz w:val="16"/>
          <w:szCs w:val="16"/>
        </w:rPr>
      </w:pPr>
    </w:p>
    <w:p w14:paraId="69B879D9" w14:textId="26B3149F" w:rsidR="003164F3" w:rsidRPr="00B67E22" w:rsidRDefault="003164F3" w:rsidP="003164F3">
      <w:pPr>
        <w:spacing w:before="120" w:after="20"/>
        <w:jc w:val="center"/>
      </w:pPr>
      <w:r w:rsidRPr="00B67E22">
        <w:rPr>
          <w:smallCaps/>
        </w:rPr>
        <w:t>TABLE VI</w:t>
      </w:r>
      <w:r w:rsidR="00B67E22" w:rsidRPr="00B67E22">
        <w:rPr>
          <w:smallCaps/>
        </w:rPr>
        <w:t>I</w:t>
      </w:r>
    </w:p>
    <w:p w14:paraId="652762F4" w14:textId="77777777" w:rsidR="003164F3" w:rsidRDefault="003164F3" w:rsidP="003164F3">
      <w:pPr>
        <w:spacing w:before="20" w:after="60"/>
        <w:jc w:val="center"/>
      </w:pPr>
      <w:r>
        <w:rPr>
          <w:smallCaps/>
          <w:sz w:val="16"/>
          <w:szCs w:val="16"/>
        </w:rPr>
        <w:t>2025 Simulated Portfolio vs. S&amp;P 500 (SPY)</w:t>
      </w:r>
    </w:p>
    <w:tbl>
      <w:tblPr>
        <w:tblW w:w="51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
        <w:gridCol w:w="893"/>
        <w:gridCol w:w="1119"/>
        <w:gridCol w:w="1155"/>
        <w:gridCol w:w="920"/>
      </w:tblGrid>
      <w:tr w:rsidR="003164F3" w14:paraId="1D8B138E" w14:textId="77777777" w:rsidTr="00E13005">
        <w:trPr>
          <w:jc w:val="center"/>
        </w:trPr>
        <w:tc>
          <w:tcPr>
            <w:tcW w:w="1025" w:type="dxa"/>
            <w:vAlign w:val="center"/>
          </w:tcPr>
          <w:p w14:paraId="330C24C6" w14:textId="77777777" w:rsidR="003164F3" w:rsidRDefault="003164F3" w:rsidP="00E13005">
            <w:pPr>
              <w:spacing w:before="20" w:after="20"/>
              <w:jc w:val="center"/>
            </w:pPr>
            <w:r>
              <w:rPr>
                <w:b/>
                <w:bCs/>
                <w:sz w:val="16"/>
                <w:szCs w:val="16"/>
              </w:rPr>
              <w:t>Quarter</w:t>
            </w:r>
          </w:p>
        </w:tc>
        <w:tc>
          <w:tcPr>
            <w:tcW w:w="893" w:type="dxa"/>
            <w:vAlign w:val="center"/>
          </w:tcPr>
          <w:p w14:paraId="73EB9C9D" w14:textId="77777777" w:rsidR="003164F3" w:rsidRDefault="003164F3" w:rsidP="00E13005">
            <w:pPr>
              <w:spacing w:before="20" w:after="20"/>
              <w:jc w:val="center"/>
            </w:pPr>
            <w:r>
              <w:rPr>
                <w:b/>
                <w:bCs/>
                <w:sz w:val="16"/>
                <w:szCs w:val="16"/>
              </w:rPr>
              <w:t>N Stocks</w:t>
            </w:r>
          </w:p>
        </w:tc>
        <w:tc>
          <w:tcPr>
            <w:tcW w:w="1119" w:type="dxa"/>
            <w:vAlign w:val="center"/>
          </w:tcPr>
          <w:p w14:paraId="30E42753" w14:textId="77777777" w:rsidR="003164F3" w:rsidRDefault="003164F3" w:rsidP="00E13005">
            <w:pPr>
              <w:spacing w:before="20" w:after="20"/>
              <w:jc w:val="center"/>
            </w:pPr>
            <w:r>
              <w:rPr>
                <w:b/>
                <w:bCs/>
                <w:sz w:val="16"/>
                <w:szCs w:val="16"/>
              </w:rPr>
              <w:t>Model Return</w:t>
            </w:r>
          </w:p>
        </w:tc>
        <w:tc>
          <w:tcPr>
            <w:tcW w:w="1155" w:type="dxa"/>
            <w:vAlign w:val="center"/>
          </w:tcPr>
          <w:p w14:paraId="3BC57165" w14:textId="77777777" w:rsidR="003164F3" w:rsidRDefault="003164F3" w:rsidP="00E13005">
            <w:pPr>
              <w:spacing w:before="20" w:after="20"/>
              <w:jc w:val="center"/>
            </w:pPr>
            <w:r>
              <w:rPr>
                <w:b/>
                <w:bCs/>
                <w:sz w:val="16"/>
                <w:szCs w:val="16"/>
              </w:rPr>
              <w:t>SPY Return</w:t>
            </w:r>
          </w:p>
        </w:tc>
        <w:tc>
          <w:tcPr>
            <w:tcW w:w="920" w:type="dxa"/>
            <w:vAlign w:val="center"/>
          </w:tcPr>
          <w:p w14:paraId="209C0C28" w14:textId="77777777" w:rsidR="003164F3" w:rsidRDefault="003164F3" w:rsidP="00E13005">
            <w:pPr>
              <w:spacing w:before="20" w:after="20"/>
              <w:jc w:val="center"/>
            </w:pPr>
            <w:r>
              <w:rPr>
                <w:b/>
                <w:bCs/>
                <w:sz w:val="16"/>
                <w:szCs w:val="16"/>
              </w:rPr>
              <w:t>Alpha</w:t>
            </w:r>
          </w:p>
        </w:tc>
      </w:tr>
      <w:tr w:rsidR="003164F3" w14:paraId="001EE214" w14:textId="77777777" w:rsidTr="00E13005">
        <w:trPr>
          <w:jc w:val="center"/>
        </w:trPr>
        <w:tc>
          <w:tcPr>
            <w:tcW w:w="1025" w:type="dxa"/>
            <w:vAlign w:val="center"/>
          </w:tcPr>
          <w:p w14:paraId="7B79EAD3" w14:textId="77777777" w:rsidR="003164F3" w:rsidRPr="00B67E22" w:rsidRDefault="003164F3" w:rsidP="00E13005">
            <w:pPr>
              <w:spacing w:before="20" w:after="20"/>
              <w:jc w:val="center"/>
            </w:pPr>
            <w:r w:rsidRPr="00B67E22">
              <w:rPr>
                <w:sz w:val="16"/>
                <w:szCs w:val="16"/>
              </w:rPr>
              <w:t>Q2 2025</w:t>
            </w:r>
          </w:p>
        </w:tc>
        <w:tc>
          <w:tcPr>
            <w:tcW w:w="893" w:type="dxa"/>
            <w:vAlign w:val="center"/>
          </w:tcPr>
          <w:p w14:paraId="0F32A25B" w14:textId="77777777" w:rsidR="003164F3" w:rsidRPr="00B67E22" w:rsidRDefault="003164F3" w:rsidP="00E13005">
            <w:pPr>
              <w:spacing w:before="20" w:after="20"/>
              <w:jc w:val="center"/>
            </w:pPr>
            <w:r w:rsidRPr="00B67E22">
              <w:rPr>
                <w:sz w:val="16"/>
                <w:szCs w:val="16"/>
              </w:rPr>
              <w:t>387</w:t>
            </w:r>
          </w:p>
        </w:tc>
        <w:tc>
          <w:tcPr>
            <w:tcW w:w="1119" w:type="dxa"/>
            <w:vAlign w:val="center"/>
          </w:tcPr>
          <w:p w14:paraId="248B40B9" w14:textId="77777777" w:rsidR="003164F3" w:rsidRPr="00B67E22" w:rsidRDefault="003164F3" w:rsidP="00E13005">
            <w:pPr>
              <w:spacing w:before="20" w:after="20"/>
              <w:jc w:val="center"/>
            </w:pPr>
            <w:r w:rsidRPr="00B67E22">
              <w:rPr>
                <w:sz w:val="16"/>
                <w:szCs w:val="16"/>
              </w:rPr>
              <w:t>+6.39%</w:t>
            </w:r>
          </w:p>
        </w:tc>
        <w:tc>
          <w:tcPr>
            <w:tcW w:w="1155" w:type="dxa"/>
            <w:vAlign w:val="center"/>
          </w:tcPr>
          <w:p w14:paraId="0D3EAD83" w14:textId="77777777" w:rsidR="003164F3" w:rsidRPr="00B67E22" w:rsidRDefault="003164F3" w:rsidP="00E13005">
            <w:pPr>
              <w:spacing w:before="20" w:after="20"/>
              <w:jc w:val="center"/>
            </w:pPr>
            <w:r w:rsidRPr="00B67E22">
              <w:rPr>
                <w:sz w:val="16"/>
                <w:szCs w:val="16"/>
              </w:rPr>
              <w:t>+10.57%</w:t>
            </w:r>
          </w:p>
        </w:tc>
        <w:tc>
          <w:tcPr>
            <w:tcW w:w="920" w:type="dxa"/>
            <w:vAlign w:val="center"/>
          </w:tcPr>
          <w:p w14:paraId="389325D3" w14:textId="77777777" w:rsidR="003164F3" w:rsidRPr="00B67E22" w:rsidRDefault="00DF101C" w:rsidP="00E13005">
            <w:pPr>
              <w:spacing w:before="20" w:after="20"/>
              <w:jc w:val="center"/>
            </w:pPr>
            <w:sdt>
              <w:sdtPr>
                <w:tag w:val="goog_rdk_3"/>
                <w:id w:val="-1164118247"/>
              </w:sdtPr>
              <w:sdtEndPr/>
              <w:sdtContent>
                <w:r w:rsidR="003164F3" w:rsidRPr="00B67E22">
                  <w:rPr>
                    <w:rFonts w:eastAsia="Gungsuh"/>
                    <w:sz w:val="16"/>
                    <w:szCs w:val="16"/>
                  </w:rPr>
                  <w:t>−4.18%</w:t>
                </w:r>
              </w:sdtContent>
            </w:sdt>
          </w:p>
        </w:tc>
      </w:tr>
      <w:tr w:rsidR="003164F3" w14:paraId="633A0D30" w14:textId="77777777" w:rsidTr="00E13005">
        <w:trPr>
          <w:jc w:val="center"/>
        </w:trPr>
        <w:tc>
          <w:tcPr>
            <w:tcW w:w="1025" w:type="dxa"/>
            <w:vAlign w:val="center"/>
          </w:tcPr>
          <w:p w14:paraId="3BD3C540" w14:textId="77777777" w:rsidR="003164F3" w:rsidRPr="00B67E22" w:rsidRDefault="003164F3" w:rsidP="00E13005">
            <w:pPr>
              <w:spacing w:before="20" w:after="20"/>
              <w:jc w:val="center"/>
            </w:pPr>
            <w:r w:rsidRPr="00B67E22">
              <w:rPr>
                <w:sz w:val="16"/>
                <w:szCs w:val="16"/>
              </w:rPr>
              <w:t>Q3 2025</w:t>
            </w:r>
          </w:p>
        </w:tc>
        <w:tc>
          <w:tcPr>
            <w:tcW w:w="893" w:type="dxa"/>
            <w:vAlign w:val="center"/>
          </w:tcPr>
          <w:p w14:paraId="4642F3A1" w14:textId="77777777" w:rsidR="003164F3" w:rsidRPr="00B67E22" w:rsidRDefault="003164F3" w:rsidP="00E13005">
            <w:pPr>
              <w:spacing w:before="20" w:after="20"/>
              <w:jc w:val="center"/>
            </w:pPr>
            <w:r w:rsidRPr="00B67E22">
              <w:rPr>
                <w:sz w:val="16"/>
                <w:szCs w:val="16"/>
              </w:rPr>
              <w:t>391</w:t>
            </w:r>
          </w:p>
        </w:tc>
        <w:tc>
          <w:tcPr>
            <w:tcW w:w="1119" w:type="dxa"/>
            <w:vAlign w:val="center"/>
          </w:tcPr>
          <w:p w14:paraId="11894560" w14:textId="77777777" w:rsidR="003164F3" w:rsidRPr="00B67E22" w:rsidRDefault="003164F3" w:rsidP="00E13005">
            <w:pPr>
              <w:spacing w:before="20" w:after="20"/>
              <w:jc w:val="center"/>
            </w:pPr>
            <w:r w:rsidRPr="00B67E22">
              <w:rPr>
                <w:sz w:val="16"/>
                <w:szCs w:val="16"/>
              </w:rPr>
              <w:t>+6.74%</w:t>
            </w:r>
          </w:p>
        </w:tc>
        <w:tc>
          <w:tcPr>
            <w:tcW w:w="1155" w:type="dxa"/>
            <w:vAlign w:val="center"/>
          </w:tcPr>
          <w:p w14:paraId="5A373E34" w14:textId="77777777" w:rsidR="003164F3" w:rsidRPr="00B67E22" w:rsidRDefault="003164F3" w:rsidP="00E13005">
            <w:pPr>
              <w:spacing w:before="20" w:after="20"/>
              <w:jc w:val="center"/>
            </w:pPr>
            <w:r w:rsidRPr="00B67E22">
              <w:rPr>
                <w:sz w:val="16"/>
                <w:szCs w:val="16"/>
              </w:rPr>
              <w:t>+7.79%</w:t>
            </w:r>
          </w:p>
        </w:tc>
        <w:tc>
          <w:tcPr>
            <w:tcW w:w="920" w:type="dxa"/>
            <w:vAlign w:val="center"/>
          </w:tcPr>
          <w:p w14:paraId="145A31ED" w14:textId="77777777" w:rsidR="003164F3" w:rsidRPr="00B67E22" w:rsidRDefault="00DF101C" w:rsidP="00E13005">
            <w:pPr>
              <w:spacing w:before="20" w:after="20"/>
              <w:jc w:val="center"/>
            </w:pPr>
            <w:sdt>
              <w:sdtPr>
                <w:tag w:val="goog_rdk_4"/>
                <w:id w:val="-1870892876"/>
              </w:sdtPr>
              <w:sdtEndPr/>
              <w:sdtContent>
                <w:r w:rsidR="003164F3" w:rsidRPr="00B67E22">
                  <w:rPr>
                    <w:rFonts w:eastAsia="Gungsuh"/>
                    <w:sz w:val="16"/>
                    <w:szCs w:val="16"/>
                  </w:rPr>
                  <w:t>−1.06%</w:t>
                </w:r>
              </w:sdtContent>
            </w:sdt>
          </w:p>
        </w:tc>
      </w:tr>
      <w:tr w:rsidR="003164F3" w14:paraId="4EE63C5D" w14:textId="77777777" w:rsidTr="00E13005">
        <w:trPr>
          <w:jc w:val="center"/>
        </w:trPr>
        <w:tc>
          <w:tcPr>
            <w:tcW w:w="1025" w:type="dxa"/>
            <w:vAlign w:val="center"/>
          </w:tcPr>
          <w:p w14:paraId="4518DE34" w14:textId="77777777" w:rsidR="003164F3" w:rsidRPr="00B67E22" w:rsidRDefault="003164F3" w:rsidP="00E13005">
            <w:pPr>
              <w:spacing w:before="20" w:after="20"/>
              <w:jc w:val="center"/>
            </w:pPr>
            <w:r w:rsidRPr="00B67E22">
              <w:rPr>
                <w:sz w:val="16"/>
                <w:szCs w:val="16"/>
              </w:rPr>
              <w:t>Q4 2025</w:t>
            </w:r>
          </w:p>
        </w:tc>
        <w:tc>
          <w:tcPr>
            <w:tcW w:w="893" w:type="dxa"/>
            <w:vAlign w:val="center"/>
          </w:tcPr>
          <w:p w14:paraId="66113CB7" w14:textId="77777777" w:rsidR="003164F3" w:rsidRPr="00B67E22" w:rsidRDefault="003164F3" w:rsidP="00E13005">
            <w:pPr>
              <w:spacing w:before="20" w:after="20"/>
              <w:jc w:val="center"/>
            </w:pPr>
            <w:r w:rsidRPr="00B67E22">
              <w:rPr>
                <w:sz w:val="16"/>
                <w:szCs w:val="16"/>
              </w:rPr>
              <w:t xml:space="preserve"> 72</w:t>
            </w:r>
          </w:p>
        </w:tc>
        <w:tc>
          <w:tcPr>
            <w:tcW w:w="1119" w:type="dxa"/>
            <w:vAlign w:val="center"/>
          </w:tcPr>
          <w:p w14:paraId="3E5331CA" w14:textId="77777777" w:rsidR="003164F3" w:rsidRPr="00B67E22" w:rsidRDefault="003164F3" w:rsidP="00E13005">
            <w:pPr>
              <w:spacing w:before="20" w:after="20"/>
              <w:jc w:val="center"/>
            </w:pPr>
            <w:r w:rsidRPr="00B67E22">
              <w:rPr>
                <w:sz w:val="16"/>
                <w:szCs w:val="16"/>
              </w:rPr>
              <w:t>+3.15%</w:t>
            </w:r>
          </w:p>
        </w:tc>
        <w:tc>
          <w:tcPr>
            <w:tcW w:w="1155" w:type="dxa"/>
            <w:vAlign w:val="center"/>
          </w:tcPr>
          <w:p w14:paraId="18A9EF26" w14:textId="77777777" w:rsidR="003164F3" w:rsidRPr="00B67E22" w:rsidRDefault="003164F3" w:rsidP="00E13005">
            <w:pPr>
              <w:spacing w:before="20" w:after="20"/>
              <w:jc w:val="center"/>
            </w:pPr>
            <w:r w:rsidRPr="00B67E22">
              <w:rPr>
                <w:sz w:val="16"/>
                <w:szCs w:val="16"/>
              </w:rPr>
              <w:t>+2.35%</w:t>
            </w:r>
          </w:p>
        </w:tc>
        <w:tc>
          <w:tcPr>
            <w:tcW w:w="920" w:type="dxa"/>
            <w:vAlign w:val="center"/>
          </w:tcPr>
          <w:p w14:paraId="4A483356" w14:textId="77777777" w:rsidR="003164F3" w:rsidRPr="00B67E22" w:rsidRDefault="003164F3" w:rsidP="00E13005">
            <w:pPr>
              <w:spacing w:before="20" w:after="20"/>
              <w:jc w:val="center"/>
            </w:pPr>
            <w:r w:rsidRPr="00B67E22">
              <w:rPr>
                <w:sz w:val="16"/>
                <w:szCs w:val="16"/>
              </w:rPr>
              <w:t>+0.81%</w:t>
            </w:r>
          </w:p>
        </w:tc>
      </w:tr>
    </w:tbl>
    <w:p w14:paraId="39178923" w14:textId="77777777" w:rsidR="003164F3" w:rsidRDefault="003164F3" w:rsidP="003164F3">
      <w:pPr>
        <w:ind w:firstLine="360"/>
        <w:jc w:val="both"/>
      </w:pPr>
    </w:p>
    <w:p w14:paraId="09EC73BF" w14:textId="6396D7F2" w:rsidR="003164F3" w:rsidRPr="003164F3" w:rsidRDefault="003164F3" w:rsidP="003164F3">
      <w:pPr>
        <w:ind w:firstLine="360"/>
        <w:jc w:val="both"/>
      </w:pPr>
      <w:r>
        <w:t xml:space="preserve">The portfolio underperforms SPY in two of three comparable quarters, consistent with the semi-strong form Efficient Market Hypothesis: publicly disclosed financial ratios do not systematically support sustained risk-adjusted outperformance of a passive index investment. The marginal positive alpha in Q4 2025 (+0.81%) is within normal estimation error and </w:t>
      </w:r>
      <w:r w:rsidR="00802E36">
        <w:t xml:space="preserve">consequently </w:t>
      </w:r>
      <w:r>
        <w:t>should not be interpreted as evidence of systematic edge.</w:t>
      </w:r>
    </w:p>
    <w:p w14:paraId="4B3124E9" w14:textId="3761C980" w:rsidR="003164F3" w:rsidRPr="005716B7" w:rsidRDefault="005716B7" w:rsidP="005716B7">
      <w:pPr>
        <w:spacing w:before="120" w:after="120"/>
        <w:rPr>
          <w:i/>
          <w:iCs/>
        </w:rPr>
      </w:pPr>
      <w:r>
        <w:rPr>
          <w:i/>
          <w:iCs/>
        </w:rPr>
        <w:t>V. Interpretation Summary</w:t>
      </w:r>
    </w:p>
    <w:p w14:paraId="1B6F9CFD" w14:textId="2CE759A6" w:rsidR="000358F3" w:rsidRDefault="003164F3" w:rsidP="003164F3">
      <w:pPr>
        <w:spacing w:before="120" w:after="120"/>
      </w:pPr>
      <w:r w:rsidRPr="003164F3">
        <w:t>The results collectively support three conclusions. First, quarterly financial ratios contain statistically significant but modest predictive signal for next-quarter outperformance Second, sector homogeneity is a meaningful moderator of predictive power: segmenting by GICS sector and further by within-sector financial profile clusters materially improves AUC (Q2 confirmed). Third, the model does not reliably generate positive alpha against a passive S&amp;P 500 strategy (Q3 not confirmed), consistent with efficient markets in a competitive, information-rich environment.</w:t>
      </w:r>
    </w:p>
    <w:p w14:paraId="0AFEAB27" w14:textId="53F0D4A4" w:rsidR="003E4717" w:rsidRDefault="003E4717" w:rsidP="003E4717">
      <w:pPr>
        <w:pStyle w:val="SectionHeading"/>
      </w:pPr>
      <w:r>
        <w:t>Conclusion</w:t>
      </w:r>
    </w:p>
    <w:p w14:paraId="04701E33" w14:textId="4726680D" w:rsidR="003164F3" w:rsidRDefault="003164F3" w:rsidP="003164F3">
      <w:pPr>
        <w:jc w:val="both"/>
      </w:pPr>
      <w:r>
        <w:t>This study demonstrates that logistic regression applied to quarterly financial ratios yields statistically significant but practically modest S&amp;P 500 outperformance predictions in a global pooled setting. Sector segmentation</w:t>
      </w:r>
      <w:r w:rsidR="007C7727">
        <w:t xml:space="preserve"> </w:t>
      </w:r>
      <w:r>
        <w:t>substantially improve</w:t>
      </w:r>
      <w:r w:rsidR="007C7727">
        <w:t>s</w:t>
      </w:r>
      <w:r>
        <w:t xml:space="preserve"> discrimination, </w:t>
      </w:r>
      <w:r w:rsidR="00802E36">
        <w:t xml:space="preserve">with sector performance increasing </w:t>
      </w:r>
      <w:r w:rsidR="007C7727">
        <w:t>accuracy by</w:t>
      </w:r>
      <w:r w:rsidR="00802E36">
        <w:t xml:space="preserve"> as much as 10%. </w:t>
      </w:r>
      <w:r>
        <w:t>The persistent gap between logistic regression and Gradient Boosting AUC scores (0.5381 vs. 0.6589) indicates that non-linear interaction effects in financial ratios remain unexploited by linear models</w:t>
      </w:r>
      <w:r w:rsidR="007C7727">
        <w:t xml:space="preserve"> and remain a topic for further analysis</w:t>
      </w:r>
      <w:r>
        <w:t>.</w:t>
      </w:r>
    </w:p>
    <w:p w14:paraId="5C434D10" w14:textId="3C5DDF13" w:rsidR="003164F3" w:rsidRDefault="003164F3" w:rsidP="003164F3">
      <w:pPr>
        <w:ind w:firstLine="360"/>
        <w:jc w:val="both"/>
      </w:pPr>
      <w:r>
        <w:t>Out-of-sample 2025 results confirm that the model generalizes reasonably to unseen data but does not generate consistent portfolio alpha, supporting a partial endorsement of the semi-strong Efficient Market Hypothesis. The sharp drop in Q1 2025 accuracy during a market correction underscores the importance of regime-aware modeling.</w:t>
      </w:r>
    </w:p>
    <w:p w14:paraId="24EB00D8" w14:textId="189841FE" w:rsidR="007C7727" w:rsidRDefault="003164F3" w:rsidP="00CB3203">
      <w:pPr>
        <w:ind w:firstLine="360"/>
        <w:jc w:val="both"/>
      </w:pPr>
      <w:r>
        <w:t>Future work should explore non-linear models (Random Forest, XGBoost, LSTM networks), longer lag windows to capture multi-quarter momentum, and alternative segmentation criteria such as analyst coverage density or earnings surprise history. Incorporating alternative data sources such as sentiment scores from 10-Q filings may further close the gap with the 71.2% benchmark accuracy.</w:t>
      </w:r>
      <w:r w:rsidR="007C7727">
        <w:t xml:space="preserve"> Also, market regime analysis </w:t>
      </w:r>
      <w:r w:rsidR="00CB3203">
        <w:t xml:space="preserve">could be included to further </w:t>
      </w:r>
      <w:r w:rsidR="00CB3203">
        <w:t>boost performance and to understand market behavior within shorter context windows.</w:t>
      </w:r>
    </w:p>
    <w:p w14:paraId="6971E587" w14:textId="6AAA5E27" w:rsidR="003E4717" w:rsidRDefault="003E4717" w:rsidP="003E4717">
      <w:pPr>
        <w:pStyle w:val="SectionHeading"/>
      </w:pPr>
      <w:r>
        <w:t>Acknowledgments</w:t>
      </w:r>
    </w:p>
    <w:p w14:paraId="0CBD72E3" w14:textId="2F2724CB" w:rsidR="0059393A" w:rsidRDefault="0059393A" w:rsidP="0059393A">
      <w:pPr>
        <w:jc w:val="both"/>
      </w:pPr>
      <w:r>
        <w:t>The authors thank the SSIE 605 course faculty at Binghamton University for guidance on methodology selection and the VIF and PCA threshold decisions applied in this study. Data were accessed through the Wharton Research Data Service (WRDS) institutional subscription provided by Binghamton University.</w:t>
      </w:r>
    </w:p>
    <w:p w14:paraId="1F7386D2" w14:textId="177DDD01" w:rsidR="003E4717" w:rsidRPr="008F5F8B" w:rsidRDefault="003E4717" w:rsidP="003E4717">
      <w:pPr>
        <w:pStyle w:val="SectionHeading"/>
      </w:pPr>
      <w:r>
        <w:t>References</w:t>
      </w:r>
    </w:p>
    <w:p w14:paraId="31B2A980" w14:textId="5481BBE2" w:rsidR="00620132" w:rsidRDefault="00620132" w:rsidP="0059393A">
      <w:pPr>
        <w:widowControl w:val="0"/>
        <w:tabs>
          <w:tab w:val="left" w:pos="360"/>
        </w:tabs>
        <w:autoSpaceDE w:val="0"/>
        <w:autoSpaceDN w:val="0"/>
        <w:adjustRightInd w:val="0"/>
        <w:ind w:left="360" w:hanging="360"/>
        <w:jc w:val="both"/>
        <w:rPr>
          <w:rFonts w:ascii="TimesNewRomanPSMT" w:hAnsi="TimesNewRomanPSMT" w:cs="TimesNewRomanPSMT"/>
          <w:sz w:val="16"/>
          <w:szCs w:val="16"/>
        </w:rPr>
      </w:pPr>
      <w:r>
        <w:rPr>
          <w:rFonts w:ascii="TimesNewRomanPSMT" w:hAnsi="TimesNewRomanPSMT" w:cs="TimesNewRomanPSMT"/>
          <w:sz w:val="16"/>
          <w:szCs w:val="16"/>
        </w:rPr>
        <w:t>[1]</w:t>
      </w:r>
      <w:r>
        <w:rPr>
          <w:rFonts w:ascii="TimesNewRomanPSMT" w:hAnsi="TimesNewRomanPSMT" w:cs="TimesNewRomanPSMT"/>
          <w:sz w:val="16"/>
          <w:szCs w:val="16"/>
        </w:rPr>
        <w:tab/>
      </w:r>
      <w:r w:rsidR="007C7727" w:rsidRPr="007C7727">
        <w:rPr>
          <w:rFonts w:ascii="TimesNewRomanPSMT" w:hAnsi="TimesNewRomanPSMT" w:cs="TimesNewRomanPSMT"/>
          <w:sz w:val="16"/>
          <w:szCs w:val="16"/>
        </w:rPr>
        <w:t>Adoption of Form 10-Q, Rescission of Form 9-K and Amendment of Rules 13a-13 and 15d-13, Securities Exchange Act Release No. 34-9004, 35 Fed. Reg. 17537, Oct. 23, 1970.</w:t>
      </w:r>
    </w:p>
    <w:p w14:paraId="705F5CD3" w14:textId="77777777" w:rsidR="007C7727" w:rsidRDefault="00620132" w:rsidP="007C7727">
      <w:pPr>
        <w:widowControl w:val="0"/>
        <w:tabs>
          <w:tab w:val="left" w:pos="360"/>
        </w:tabs>
        <w:autoSpaceDE w:val="0"/>
        <w:autoSpaceDN w:val="0"/>
        <w:adjustRightInd w:val="0"/>
        <w:ind w:left="360" w:hanging="360"/>
        <w:jc w:val="both"/>
        <w:rPr>
          <w:rFonts w:ascii="TimesNewRomanPSMT" w:hAnsi="TimesNewRomanPSMT" w:cs="TimesNewRomanPSMT"/>
          <w:sz w:val="16"/>
          <w:szCs w:val="16"/>
        </w:rPr>
      </w:pPr>
      <w:r>
        <w:rPr>
          <w:rFonts w:ascii="TimesNewRomanPSMT" w:hAnsi="TimesNewRomanPSMT" w:cs="TimesNewRomanPSMT"/>
          <w:sz w:val="16"/>
          <w:szCs w:val="16"/>
        </w:rPr>
        <w:t>[2]</w:t>
      </w:r>
      <w:r>
        <w:rPr>
          <w:rFonts w:ascii="TimesNewRomanPSMT" w:hAnsi="TimesNewRomanPSMT" w:cs="TimesNewRomanPSMT"/>
          <w:sz w:val="16"/>
          <w:szCs w:val="16"/>
        </w:rPr>
        <w:tab/>
      </w:r>
      <w:r w:rsidR="007C7727" w:rsidRPr="007C7727">
        <w:rPr>
          <w:rFonts w:ascii="TimesNewRomanPSMT" w:hAnsi="TimesNewRomanPSMT" w:cs="TimesNewRomanPSMT"/>
          <w:sz w:val="16"/>
          <w:szCs w:val="16"/>
        </w:rPr>
        <w:t xml:space="preserve">P. M. Healy and K. G. Palepu, "Information asymmetry, corporate disclosure, and the capital markets: A review of the empirical disclosure literature," J. Account. Econ., vol. 31, no. 1–3, pp. 405–440, 2001, doi: 10.1016/S0165-4101(01)00018-0. </w:t>
      </w:r>
    </w:p>
    <w:p w14:paraId="6389BA77" w14:textId="5A4ACF4F" w:rsidR="0059393A" w:rsidRDefault="0059393A" w:rsidP="007C7727">
      <w:pPr>
        <w:widowControl w:val="0"/>
        <w:tabs>
          <w:tab w:val="left" w:pos="360"/>
        </w:tabs>
        <w:autoSpaceDE w:val="0"/>
        <w:autoSpaceDN w:val="0"/>
        <w:adjustRightInd w:val="0"/>
        <w:ind w:left="360" w:hanging="360"/>
        <w:jc w:val="both"/>
        <w:rPr>
          <w:sz w:val="16"/>
        </w:rPr>
      </w:pPr>
      <w:r>
        <w:rPr>
          <w:sz w:val="16"/>
        </w:rPr>
        <w:t>[</w:t>
      </w:r>
      <w:r w:rsidR="00620132">
        <w:rPr>
          <w:sz w:val="16"/>
        </w:rPr>
        <w:t>3</w:t>
      </w:r>
      <w:r>
        <w:rPr>
          <w:sz w:val="16"/>
        </w:rPr>
        <w:t>]</w:t>
      </w:r>
      <w:r>
        <w:rPr>
          <w:sz w:val="16"/>
        </w:rPr>
        <w:tab/>
      </w:r>
      <w:r w:rsidR="007C7727" w:rsidRPr="007C7727">
        <w:rPr>
          <w:sz w:val="16"/>
        </w:rPr>
        <w:t>W. F. Sharpe, "The arithmetic of active management," Financial Analysts J., vol. 47, no. 1, pp. 7–9, 1991, doi: 10.2469/faj.v47.n1.7.</w:t>
      </w:r>
    </w:p>
    <w:p w14:paraId="35C36197" w14:textId="6C642336" w:rsidR="0059393A" w:rsidRDefault="0059393A" w:rsidP="0059393A">
      <w:pPr>
        <w:ind w:left="360" w:hanging="360"/>
        <w:jc w:val="both"/>
        <w:rPr>
          <w:sz w:val="16"/>
        </w:rPr>
      </w:pPr>
      <w:r>
        <w:rPr>
          <w:rFonts w:ascii="TimesNewRomanPSMT" w:hAnsi="TimesNewRomanPSMT" w:cs="TimesNewRomanPSMT"/>
          <w:sz w:val="16"/>
          <w:szCs w:val="16"/>
        </w:rPr>
        <w:t>[</w:t>
      </w:r>
      <w:r w:rsidR="00F17804">
        <w:rPr>
          <w:rFonts w:ascii="TimesNewRomanPSMT" w:hAnsi="TimesNewRomanPSMT" w:cs="TimesNewRomanPSMT"/>
          <w:sz w:val="16"/>
          <w:szCs w:val="16"/>
        </w:rPr>
        <w:t>4</w:t>
      </w:r>
      <w:r>
        <w:rPr>
          <w:rFonts w:ascii="TimesNewRomanPSMT" w:hAnsi="TimesNewRomanPSMT" w:cs="TimesNewRomanPSMT"/>
          <w:sz w:val="16"/>
          <w:szCs w:val="16"/>
        </w:rPr>
        <w:t>]</w:t>
      </w:r>
      <w:r>
        <w:rPr>
          <w:rFonts w:ascii="TimesNewRomanPSMT" w:hAnsi="TimesNewRomanPSMT" w:cs="TimesNewRomanPSMT"/>
          <w:sz w:val="16"/>
          <w:szCs w:val="16"/>
        </w:rPr>
        <w:tab/>
      </w:r>
      <w:r w:rsidR="007C7727" w:rsidRPr="007C7727">
        <w:rPr>
          <w:rFonts w:ascii="TimesNewRomanPSMT" w:hAnsi="TimesNewRomanPSMT" w:cs="TimesNewRomanPSMT"/>
          <w:sz w:val="16"/>
          <w:szCs w:val="16"/>
        </w:rPr>
        <w:t>E. F. Fama, "Efficient capital markets: A review of theory and empirical work," J. Finance, vol. 25, no. 2, pp. 383–417, 1970, doi: 10.2307/2325486.</w:t>
      </w:r>
    </w:p>
    <w:p w14:paraId="707B9E30" w14:textId="3254E241" w:rsidR="00620132" w:rsidRPr="00F17804" w:rsidRDefault="00620132" w:rsidP="00F17804">
      <w:pPr>
        <w:widowControl w:val="0"/>
        <w:tabs>
          <w:tab w:val="left" w:pos="360"/>
        </w:tabs>
        <w:autoSpaceDE w:val="0"/>
        <w:autoSpaceDN w:val="0"/>
        <w:adjustRightInd w:val="0"/>
        <w:ind w:left="360" w:hanging="360"/>
        <w:jc w:val="both"/>
        <w:rPr>
          <w:rFonts w:ascii="TimesNewRomanPSMT" w:hAnsi="TimesNewRomanPSMT" w:cs="TimesNewRomanPSMT"/>
          <w:sz w:val="16"/>
          <w:szCs w:val="16"/>
        </w:rPr>
      </w:pPr>
      <w:r>
        <w:rPr>
          <w:rFonts w:ascii="TimesNewRomanPSMT" w:hAnsi="TimesNewRomanPSMT" w:cs="TimesNewRomanPSMT"/>
          <w:sz w:val="16"/>
          <w:szCs w:val="16"/>
        </w:rPr>
        <w:t>[</w:t>
      </w:r>
      <w:r w:rsidR="00F17804">
        <w:rPr>
          <w:rFonts w:ascii="TimesNewRomanPSMT" w:hAnsi="TimesNewRomanPSMT" w:cs="TimesNewRomanPSMT"/>
          <w:sz w:val="16"/>
          <w:szCs w:val="16"/>
        </w:rPr>
        <w:t>5</w:t>
      </w:r>
      <w:r>
        <w:rPr>
          <w:rFonts w:ascii="TimesNewRomanPSMT" w:hAnsi="TimesNewRomanPSMT" w:cs="TimesNewRomanPSMT"/>
          <w:sz w:val="16"/>
          <w:szCs w:val="16"/>
        </w:rPr>
        <w:t>]</w:t>
      </w:r>
      <w:r>
        <w:rPr>
          <w:rFonts w:ascii="TimesNewRomanPSMT" w:hAnsi="TimesNewRomanPSMT" w:cs="TimesNewRomanPSMT"/>
          <w:sz w:val="16"/>
          <w:szCs w:val="16"/>
        </w:rPr>
        <w:tab/>
      </w:r>
      <w:r w:rsidRPr="006B2E01">
        <w:rPr>
          <w:color w:val="000000"/>
          <w:sz w:val="16"/>
          <w:szCs w:val="24"/>
        </w:rPr>
        <w:t>U. Ananthakumar and D. Sarkar, "Application of logistic regression in assessing stock performance," Proc. IEEE ISEC, 2017.</w:t>
      </w:r>
    </w:p>
    <w:p w14:paraId="2383A916" w14:textId="3B23C6AC" w:rsidR="0059393A" w:rsidRDefault="0059393A" w:rsidP="0059393A">
      <w:pPr>
        <w:ind w:left="360" w:hanging="360"/>
        <w:jc w:val="both"/>
        <w:rPr>
          <w:sz w:val="16"/>
        </w:rPr>
      </w:pPr>
      <w:r>
        <w:rPr>
          <w:sz w:val="16"/>
        </w:rPr>
        <w:t>[</w:t>
      </w:r>
      <w:r w:rsidR="00F17804">
        <w:rPr>
          <w:sz w:val="16"/>
        </w:rPr>
        <w:t>6</w:t>
      </w:r>
      <w:r>
        <w:rPr>
          <w:sz w:val="16"/>
        </w:rPr>
        <w:t>]</w:t>
      </w:r>
      <w:r>
        <w:rPr>
          <w:sz w:val="16"/>
        </w:rPr>
        <w:tab/>
      </w:r>
      <w:r w:rsidR="007C7727" w:rsidRPr="007C7727">
        <w:rPr>
          <w:sz w:val="16"/>
        </w:rPr>
        <w:t>E. F. Fama and K. R. French, "The cross-section of expected stock returns," J. Finance, vol. 47, no. 2, pp. 427–465, 1992</w:t>
      </w:r>
      <w:r w:rsidR="007C7727">
        <w:rPr>
          <w:sz w:val="16"/>
        </w:rPr>
        <w:t>.</w:t>
      </w:r>
    </w:p>
    <w:p w14:paraId="01CA7DD6" w14:textId="5AF88907" w:rsidR="00F17804" w:rsidRDefault="00F17804" w:rsidP="0059393A">
      <w:pPr>
        <w:ind w:left="360" w:hanging="360"/>
        <w:jc w:val="both"/>
        <w:rPr>
          <w:sz w:val="16"/>
        </w:rPr>
      </w:pPr>
      <w:r>
        <w:rPr>
          <w:sz w:val="16"/>
        </w:rPr>
        <w:t>[7]</w:t>
      </w:r>
      <w:r>
        <w:rPr>
          <w:sz w:val="16"/>
        </w:rPr>
        <w:tab/>
      </w:r>
      <w:r w:rsidR="007C7727" w:rsidRPr="007C7727">
        <w:rPr>
          <w:sz w:val="16"/>
        </w:rPr>
        <w:t>J. D. Piotroski, "Value investing: The use of historical financial statement information to separate winners from losers," J. Account. Res., vol. 38, pp. 1–41, 2000</w:t>
      </w:r>
      <w:r w:rsidRPr="00F17804">
        <w:rPr>
          <w:sz w:val="16"/>
        </w:rPr>
        <w:t>.</w:t>
      </w:r>
    </w:p>
    <w:p w14:paraId="6B8B6F1F" w14:textId="624EE2A3" w:rsidR="00F17804" w:rsidRDefault="00F17804" w:rsidP="0059393A">
      <w:pPr>
        <w:ind w:left="360" w:hanging="360"/>
        <w:jc w:val="both"/>
        <w:rPr>
          <w:sz w:val="16"/>
        </w:rPr>
      </w:pPr>
      <w:r w:rsidRPr="00F17804">
        <w:rPr>
          <w:sz w:val="16"/>
        </w:rPr>
        <w:t>[</w:t>
      </w:r>
      <w:r>
        <w:rPr>
          <w:sz w:val="16"/>
        </w:rPr>
        <w:t>8</w:t>
      </w:r>
      <w:r w:rsidRPr="00F17804">
        <w:rPr>
          <w:sz w:val="16"/>
        </w:rPr>
        <w:t xml:space="preserve">] </w:t>
      </w:r>
      <w:r w:rsidR="007C7727">
        <w:rPr>
          <w:sz w:val="16"/>
        </w:rPr>
        <w:tab/>
      </w:r>
      <w:r w:rsidR="007C7727" w:rsidRPr="007C7727">
        <w:rPr>
          <w:sz w:val="16"/>
        </w:rPr>
        <w:t>C. Krauss, X. A. Do, and N. Huck, "Deep neural networks, gradient-boosted trees, random forests: Statistical arbitrage on the S&amp;P 500," Eur. J. Oper. Res., vol. 259, no. 2, pp. 689–702, 2017.</w:t>
      </w:r>
    </w:p>
    <w:p w14:paraId="6F75E4D3" w14:textId="29A1DB3F" w:rsidR="00F475C8" w:rsidRDefault="00F475C8" w:rsidP="0059393A">
      <w:pPr>
        <w:ind w:left="360" w:hanging="360"/>
        <w:jc w:val="both"/>
        <w:rPr>
          <w:sz w:val="16"/>
        </w:rPr>
      </w:pPr>
      <w:r>
        <w:rPr>
          <w:sz w:val="16"/>
        </w:rPr>
        <w:t>[9]</w:t>
      </w:r>
      <w:r>
        <w:rPr>
          <w:sz w:val="16"/>
        </w:rPr>
        <w:tab/>
      </w:r>
      <w:r w:rsidR="007C7727" w:rsidRPr="007C7727">
        <w:rPr>
          <w:sz w:val="16"/>
        </w:rPr>
        <w:t>S&amp;P Dow Jones Indices, "S&amp;P U.S. Indices Methodology Update," S&amp;P Global Press Release, Jan. 21, 2015. [Online]. Available: https://press.spglobal.com/2015-01-21-S-P-U-S-Indices-Methodology-Update</w:t>
      </w:r>
    </w:p>
    <w:p w14:paraId="2BD7CA8A" w14:textId="138B3085" w:rsidR="0059393A" w:rsidRPr="0011734D" w:rsidRDefault="0059393A" w:rsidP="00F475C8">
      <w:pPr>
        <w:widowControl w:val="0"/>
        <w:tabs>
          <w:tab w:val="left" w:pos="360"/>
        </w:tabs>
        <w:autoSpaceDE w:val="0"/>
        <w:autoSpaceDN w:val="0"/>
        <w:adjustRightInd w:val="0"/>
        <w:jc w:val="both"/>
        <w:rPr>
          <w:sz w:val="16"/>
          <w:szCs w:val="22"/>
          <w:lang w:eastAsia="zh-CN"/>
        </w:rPr>
      </w:pPr>
    </w:p>
    <w:p w14:paraId="1A394DBB" w14:textId="256FAB31" w:rsidR="00841B19" w:rsidRPr="00715BE8" w:rsidRDefault="00841B19" w:rsidP="0059393A">
      <w:pPr>
        <w:pStyle w:val="FirstParagraph"/>
      </w:pPr>
    </w:p>
    <w:sectPr w:rsidR="00841B19" w:rsidRPr="00715BE8" w:rsidSect="00B74EFD">
      <w:type w:val="continuous"/>
      <w:pgSz w:w="12240" w:h="15840" w:code="1"/>
      <w:pgMar w:top="1080" w:right="1080" w:bottom="1440" w:left="1080" w:header="720" w:footer="720" w:gutter="0"/>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88DA9E" w14:textId="77777777" w:rsidR="00DF101C" w:rsidRDefault="00DF101C">
      <w:r>
        <w:separator/>
      </w:r>
    </w:p>
  </w:endnote>
  <w:endnote w:type="continuationSeparator" w:id="0">
    <w:p w14:paraId="4E40310A" w14:textId="77777777" w:rsidR="00DF101C" w:rsidRDefault="00DF1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auto"/>
    <w:pitch w:val="variable"/>
    <w:sig w:usb0="00000003" w:usb1="00000000" w:usb2="00000000" w:usb3="00000000" w:csb0="00000001" w:csb1="00000000"/>
  </w:font>
  <w:font w:name="Arial Unicode MS">
    <w:panose1 w:val="020B0604020202020204"/>
    <w:charset w:val="80"/>
    <w:family w:val="swiss"/>
    <w:pitch w:val="variable"/>
    <w:sig w:usb0="F7FFAEFF" w:usb1="F9DFFFFF" w:usb2="0000007F" w:usb3="00000000" w:csb0="003F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ungsuh">
    <w:charset w:val="81"/>
    <w:family w:val="roman"/>
    <w:pitch w:val="variable"/>
    <w:sig w:usb0="B00002AF" w:usb1="69D77CFB" w:usb2="00000030" w:usb3="00000000" w:csb0="0008009F" w:csb1="00000000"/>
  </w:font>
  <w:font w:name="TimesNewRomanPSMT">
    <w:altName w:val="Times New Roman"/>
    <w:panose1 w:val="00000000000000000000"/>
    <w:charset w:val="4D"/>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5A048C" w14:textId="77777777" w:rsidR="00DF101C" w:rsidRDefault="00DF101C">
      <w:r>
        <w:separator/>
      </w:r>
    </w:p>
  </w:footnote>
  <w:footnote w:type="continuationSeparator" w:id="0">
    <w:p w14:paraId="186879C4" w14:textId="77777777" w:rsidR="00DF101C" w:rsidRDefault="00DF101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FF88C508"/>
    <w:lvl w:ilvl="0">
      <w:start w:val="1"/>
      <w:numFmt w:val="upperRoman"/>
      <w:lvlText w:val="%1."/>
      <w:legacy w:legacy="1" w:legacySpace="144" w:legacyIndent="144"/>
      <w:lvlJc w:val="left"/>
    </w:lvl>
    <w:lvl w:ilvl="1">
      <w:start w:val="1"/>
      <w:numFmt w:val="upperLetter"/>
      <w:lvlText w:val="%2."/>
      <w:legacy w:legacy="1" w:legacySpace="144" w:legacyIndent="144"/>
      <w:lvlJc w:val="left"/>
    </w:lvl>
    <w:lvl w:ilvl="2">
      <w:start w:val="1"/>
      <w:numFmt w:val="decimal"/>
      <w:lvlText w:val="%3)"/>
      <w:legacy w:legacy="1" w:legacySpace="144" w:legacyIndent="144"/>
      <w:lvlJc w:val="left"/>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1" w15:restartNumberingAfterBreak="0">
    <w:nsid w:val="037144F7"/>
    <w:multiLevelType w:val="multilevel"/>
    <w:tmpl w:val="9F90EADA"/>
    <w:lvl w:ilvl="0">
      <w:start w:val="1"/>
      <w:numFmt w:val="upperRoman"/>
      <w:suff w:val="space"/>
      <w:lvlText w:val="%1."/>
      <w:lvlJc w:val="left"/>
      <w:pPr>
        <w:ind w:left="1800" w:hanging="720"/>
      </w:pPr>
      <w:rPr>
        <w:rFonts w:hint="default"/>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2" w15:restartNumberingAfterBreak="0">
    <w:nsid w:val="084D164E"/>
    <w:multiLevelType w:val="singleLevel"/>
    <w:tmpl w:val="04160015"/>
    <w:lvl w:ilvl="0">
      <w:start w:val="6"/>
      <w:numFmt w:val="upperLetter"/>
      <w:lvlText w:val="%1."/>
      <w:lvlJc w:val="left"/>
      <w:pPr>
        <w:tabs>
          <w:tab w:val="num" w:pos="360"/>
        </w:tabs>
        <w:ind w:left="360" w:hanging="360"/>
      </w:pPr>
      <w:rPr>
        <w:rFonts w:hint="default"/>
      </w:rPr>
    </w:lvl>
  </w:abstractNum>
  <w:abstractNum w:abstractNumId="3" w15:restartNumberingAfterBreak="0">
    <w:nsid w:val="15DF2DE3"/>
    <w:multiLevelType w:val="multilevel"/>
    <w:tmpl w:val="4F62F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7D64B0"/>
    <w:multiLevelType w:val="hybridMultilevel"/>
    <w:tmpl w:val="52B690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06FD3"/>
    <w:multiLevelType w:val="hybridMultilevel"/>
    <w:tmpl w:val="D0B677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E290E"/>
    <w:multiLevelType w:val="hybridMultilevel"/>
    <w:tmpl w:val="B5D4264C"/>
    <w:lvl w:ilvl="0" w:tplc="0AACE99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2ED041E"/>
    <w:multiLevelType w:val="hybridMultilevel"/>
    <w:tmpl w:val="28C8E506"/>
    <w:lvl w:ilvl="0" w:tplc="FFFFFFFF">
      <w:start w:val="1"/>
      <w:numFmt w:val="bullet"/>
      <w:lvlText w:val=""/>
      <w:lvlJc w:val="left"/>
      <w:pPr>
        <w:tabs>
          <w:tab w:val="num" w:pos="1080"/>
        </w:tabs>
        <w:ind w:left="1080" w:hanging="360"/>
      </w:pPr>
      <w:rPr>
        <w:rFonts w:ascii="Wingdings" w:hAnsi="Wingdings" w:hint="default"/>
      </w:rPr>
    </w:lvl>
    <w:lvl w:ilvl="1" w:tplc="FFFFFFFF" w:tentative="1">
      <w:start w:val="1"/>
      <w:numFmt w:val="bullet"/>
      <w:lvlText w:val="o"/>
      <w:lvlJc w:val="left"/>
      <w:pPr>
        <w:tabs>
          <w:tab w:val="num" w:pos="0"/>
        </w:tabs>
        <w:ind w:left="0" w:hanging="360"/>
      </w:pPr>
      <w:rPr>
        <w:rFonts w:ascii="Courier New" w:hAnsi="Courier New" w:hint="default"/>
      </w:rPr>
    </w:lvl>
    <w:lvl w:ilvl="2" w:tplc="FFFFFFFF" w:tentative="1">
      <w:start w:val="1"/>
      <w:numFmt w:val="bullet"/>
      <w:lvlText w:val=""/>
      <w:lvlJc w:val="left"/>
      <w:pPr>
        <w:tabs>
          <w:tab w:val="num" w:pos="720"/>
        </w:tabs>
        <w:ind w:left="720" w:hanging="360"/>
      </w:pPr>
      <w:rPr>
        <w:rFonts w:ascii="Wingdings" w:hAnsi="Wingdings" w:hint="default"/>
      </w:rPr>
    </w:lvl>
    <w:lvl w:ilvl="3" w:tplc="FFFFFFFF" w:tentative="1">
      <w:start w:val="1"/>
      <w:numFmt w:val="bullet"/>
      <w:lvlText w:val=""/>
      <w:lvlJc w:val="left"/>
      <w:pPr>
        <w:tabs>
          <w:tab w:val="num" w:pos="1440"/>
        </w:tabs>
        <w:ind w:left="1440" w:hanging="360"/>
      </w:pPr>
      <w:rPr>
        <w:rFonts w:ascii="Symbol" w:hAnsi="Symbol" w:hint="default"/>
      </w:rPr>
    </w:lvl>
    <w:lvl w:ilvl="4" w:tplc="FFFFFFFF" w:tentative="1">
      <w:start w:val="1"/>
      <w:numFmt w:val="bullet"/>
      <w:lvlText w:val="o"/>
      <w:lvlJc w:val="left"/>
      <w:pPr>
        <w:tabs>
          <w:tab w:val="num" w:pos="2160"/>
        </w:tabs>
        <w:ind w:left="2160" w:hanging="360"/>
      </w:pPr>
      <w:rPr>
        <w:rFonts w:ascii="Courier New" w:hAnsi="Courier New" w:hint="default"/>
      </w:rPr>
    </w:lvl>
    <w:lvl w:ilvl="5" w:tplc="FFFFFFFF" w:tentative="1">
      <w:start w:val="1"/>
      <w:numFmt w:val="bullet"/>
      <w:lvlText w:val=""/>
      <w:lvlJc w:val="left"/>
      <w:pPr>
        <w:tabs>
          <w:tab w:val="num" w:pos="2880"/>
        </w:tabs>
        <w:ind w:left="2880" w:hanging="360"/>
      </w:pPr>
      <w:rPr>
        <w:rFonts w:ascii="Wingdings" w:hAnsi="Wingdings" w:hint="default"/>
      </w:rPr>
    </w:lvl>
    <w:lvl w:ilvl="6" w:tplc="FFFFFFFF" w:tentative="1">
      <w:start w:val="1"/>
      <w:numFmt w:val="bullet"/>
      <w:lvlText w:val=""/>
      <w:lvlJc w:val="left"/>
      <w:pPr>
        <w:tabs>
          <w:tab w:val="num" w:pos="3600"/>
        </w:tabs>
        <w:ind w:left="3600" w:hanging="360"/>
      </w:pPr>
      <w:rPr>
        <w:rFonts w:ascii="Symbol" w:hAnsi="Symbol" w:hint="default"/>
      </w:rPr>
    </w:lvl>
    <w:lvl w:ilvl="7" w:tplc="FFFFFFFF" w:tentative="1">
      <w:start w:val="1"/>
      <w:numFmt w:val="bullet"/>
      <w:lvlText w:val="o"/>
      <w:lvlJc w:val="left"/>
      <w:pPr>
        <w:tabs>
          <w:tab w:val="num" w:pos="4320"/>
        </w:tabs>
        <w:ind w:left="4320" w:hanging="360"/>
      </w:pPr>
      <w:rPr>
        <w:rFonts w:ascii="Courier New" w:hAnsi="Courier New" w:hint="default"/>
      </w:rPr>
    </w:lvl>
    <w:lvl w:ilvl="8" w:tplc="FFFFFFFF" w:tentative="1">
      <w:start w:val="1"/>
      <w:numFmt w:val="bullet"/>
      <w:lvlText w:val=""/>
      <w:lvlJc w:val="left"/>
      <w:pPr>
        <w:tabs>
          <w:tab w:val="num" w:pos="5040"/>
        </w:tabs>
        <w:ind w:left="5040" w:hanging="360"/>
      </w:pPr>
      <w:rPr>
        <w:rFonts w:ascii="Wingdings" w:hAnsi="Wingdings" w:hint="default"/>
      </w:rPr>
    </w:lvl>
  </w:abstractNum>
  <w:abstractNum w:abstractNumId="8" w15:restartNumberingAfterBreak="0">
    <w:nsid w:val="378A7A5B"/>
    <w:multiLevelType w:val="hybridMultilevel"/>
    <w:tmpl w:val="EA16080E"/>
    <w:lvl w:ilvl="0" w:tplc="3C7E37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8C34AF"/>
    <w:multiLevelType w:val="singleLevel"/>
    <w:tmpl w:val="9992DF34"/>
    <w:lvl w:ilvl="0">
      <w:start w:val="8"/>
      <w:numFmt w:val="upperLetter"/>
      <w:lvlText w:val="%1. "/>
      <w:legacy w:legacy="1" w:legacySpace="0" w:legacyIndent="283"/>
      <w:lvlJc w:val="left"/>
      <w:pPr>
        <w:ind w:left="623" w:hanging="283"/>
      </w:pPr>
      <w:rPr>
        <w:rFonts w:ascii="Times New Roman" w:hAnsi="Times New Roman" w:hint="default"/>
        <w:b w:val="0"/>
        <w:i w:val="0"/>
        <w:sz w:val="16"/>
        <w:u w:val="none"/>
      </w:rPr>
    </w:lvl>
  </w:abstractNum>
  <w:abstractNum w:abstractNumId="10" w15:restartNumberingAfterBreak="0">
    <w:nsid w:val="39EC5C19"/>
    <w:multiLevelType w:val="multilevel"/>
    <w:tmpl w:val="A5D6B112"/>
    <w:lvl w:ilvl="0">
      <w:start w:val="1"/>
      <w:numFmt w:val="upperRoman"/>
      <w:suff w:val="space"/>
      <w:lvlText w:val="%1."/>
      <w:lvlJc w:val="left"/>
      <w:pPr>
        <w:ind w:left="1080" w:hanging="72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4380353F"/>
    <w:multiLevelType w:val="singleLevel"/>
    <w:tmpl w:val="E7E82B24"/>
    <w:lvl w:ilvl="0">
      <w:start w:val="6"/>
      <w:numFmt w:val="upperLetter"/>
      <w:lvlText w:val="%1."/>
      <w:lvlJc w:val="left"/>
      <w:pPr>
        <w:tabs>
          <w:tab w:val="num" w:pos="540"/>
        </w:tabs>
        <w:ind w:left="540" w:hanging="360"/>
      </w:pPr>
      <w:rPr>
        <w:rFonts w:hint="default"/>
      </w:rPr>
    </w:lvl>
  </w:abstractNum>
  <w:abstractNum w:abstractNumId="12" w15:restartNumberingAfterBreak="0">
    <w:nsid w:val="4DC70FD5"/>
    <w:multiLevelType w:val="hybridMultilevel"/>
    <w:tmpl w:val="2EEA20D4"/>
    <w:lvl w:ilvl="0" w:tplc="815E8F8A">
      <w:start w:val="1"/>
      <w:numFmt w:val="bullet"/>
      <w:lvlText w:val=""/>
      <w:lvlJc w:val="left"/>
      <w:pPr>
        <w:tabs>
          <w:tab w:val="num" w:pos="720"/>
        </w:tabs>
        <w:ind w:left="720" w:hanging="360"/>
      </w:pPr>
      <w:rPr>
        <w:rFonts w:ascii="Symbol" w:hAnsi="Symbol" w:hint="default"/>
      </w:rPr>
    </w:lvl>
    <w:lvl w:ilvl="1" w:tplc="25CA30B0" w:tentative="1">
      <w:start w:val="1"/>
      <w:numFmt w:val="bullet"/>
      <w:lvlText w:val="o"/>
      <w:lvlJc w:val="left"/>
      <w:pPr>
        <w:tabs>
          <w:tab w:val="num" w:pos="1440"/>
        </w:tabs>
        <w:ind w:left="1440" w:hanging="360"/>
      </w:pPr>
      <w:rPr>
        <w:rFonts w:ascii="Courier New" w:hAnsi="Courier New" w:hint="default"/>
      </w:rPr>
    </w:lvl>
    <w:lvl w:ilvl="2" w:tplc="1EA4CC14" w:tentative="1">
      <w:start w:val="1"/>
      <w:numFmt w:val="bullet"/>
      <w:lvlText w:val=""/>
      <w:lvlJc w:val="left"/>
      <w:pPr>
        <w:tabs>
          <w:tab w:val="num" w:pos="2160"/>
        </w:tabs>
        <w:ind w:left="2160" w:hanging="360"/>
      </w:pPr>
      <w:rPr>
        <w:rFonts w:ascii="Wingdings" w:hAnsi="Wingdings" w:hint="default"/>
      </w:rPr>
    </w:lvl>
    <w:lvl w:ilvl="3" w:tplc="D2FCC65E" w:tentative="1">
      <w:start w:val="1"/>
      <w:numFmt w:val="bullet"/>
      <w:lvlText w:val=""/>
      <w:lvlJc w:val="left"/>
      <w:pPr>
        <w:tabs>
          <w:tab w:val="num" w:pos="2880"/>
        </w:tabs>
        <w:ind w:left="2880" w:hanging="360"/>
      </w:pPr>
      <w:rPr>
        <w:rFonts w:ascii="Symbol" w:hAnsi="Symbol" w:hint="default"/>
      </w:rPr>
    </w:lvl>
    <w:lvl w:ilvl="4" w:tplc="9EAA4F6C" w:tentative="1">
      <w:start w:val="1"/>
      <w:numFmt w:val="bullet"/>
      <w:lvlText w:val="o"/>
      <w:lvlJc w:val="left"/>
      <w:pPr>
        <w:tabs>
          <w:tab w:val="num" w:pos="3600"/>
        </w:tabs>
        <w:ind w:left="3600" w:hanging="360"/>
      </w:pPr>
      <w:rPr>
        <w:rFonts w:ascii="Courier New" w:hAnsi="Courier New" w:hint="default"/>
      </w:rPr>
    </w:lvl>
    <w:lvl w:ilvl="5" w:tplc="3CC853B4" w:tentative="1">
      <w:start w:val="1"/>
      <w:numFmt w:val="bullet"/>
      <w:lvlText w:val=""/>
      <w:lvlJc w:val="left"/>
      <w:pPr>
        <w:tabs>
          <w:tab w:val="num" w:pos="4320"/>
        </w:tabs>
        <w:ind w:left="4320" w:hanging="360"/>
      </w:pPr>
      <w:rPr>
        <w:rFonts w:ascii="Wingdings" w:hAnsi="Wingdings" w:hint="default"/>
      </w:rPr>
    </w:lvl>
    <w:lvl w:ilvl="6" w:tplc="A0D0B9FE" w:tentative="1">
      <w:start w:val="1"/>
      <w:numFmt w:val="bullet"/>
      <w:lvlText w:val=""/>
      <w:lvlJc w:val="left"/>
      <w:pPr>
        <w:tabs>
          <w:tab w:val="num" w:pos="5040"/>
        </w:tabs>
        <w:ind w:left="5040" w:hanging="360"/>
      </w:pPr>
      <w:rPr>
        <w:rFonts w:ascii="Symbol" w:hAnsi="Symbol" w:hint="default"/>
      </w:rPr>
    </w:lvl>
    <w:lvl w:ilvl="7" w:tplc="BAD61412" w:tentative="1">
      <w:start w:val="1"/>
      <w:numFmt w:val="bullet"/>
      <w:lvlText w:val="o"/>
      <w:lvlJc w:val="left"/>
      <w:pPr>
        <w:tabs>
          <w:tab w:val="num" w:pos="5760"/>
        </w:tabs>
        <w:ind w:left="5760" w:hanging="360"/>
      </w:pPr>
      <w:rPr>
        <w:rFonts w:ascii="Courier New" w:hAnsi="Courier New" w:hint="default"/>
      </w:rPr>
    </w:lvl>
    <w:lvl w:ilvl="8" w:tplc="5FE20012"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0076472"/>
    <w:multiLevelType w:val="hybridMultilevel"/>
    <w:tmpl w:val="50C0446E"/>
    <w:lvl w:ilvl="0" w:tplc="58EA7D2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45678F"/>
    <w:multiLevelType w:val="hybridMultilevel"/>
    <w:tmpl w:val="36327D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C144230"/>
    <w:multiLevelType w:val="multilevel"/>
    <w:tmpl w:val="0D3878A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C8F2D4C"/>
    <w:multiLevelType w:val="hybridMultilevel"/>
    <w:tmpl w:val="F5A8C2F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720"/>
        </w:tabs>
        <w:ind w:left="-720" w:hanging="360"/>
      </w:pPr>
      <w:rPr>
        <w:rFonts w:ascii="Courier New" w:hAnsi="Courier New" w:hint="default"/>
      </w:rPr>
    </w:lvl>
    <w:lvl w:ilvl="2" w:tplc="FFFFFFFF" w:tentative="1">
      <w:start w:val="1"/>
      <w:numFmt w:val="bullet"/>
      <w:lvlText w:val=""/>
      <w:lvlJc w:val="left"/>
      <w:pPr>
        <w:tabs>
          <w:tab w:val="num" w:pos="0"/>
        </w:tabs>
        <w:ind w:left="0" w:hanging="360"/>
      </w:pPr>
      <w:rPr>
        <w:rFonts w:ascii="Wingdings" w:hAnsi="Wingdings" w:hint="default"/>
      </w:rPr>
    </w:lvl>
    <w:lvl w:ilvl="3" w:tplc="FFFFFFFF" w:tentative="1">
      <w:start w:val="1"/>
      <w:numFmt w:val="bullet"/>
      <w:lvlText w:val=""/>
      <w:lvlJc w:val="left"/>
      <w:pPr>
        <w:tabs>
          <w:tab w:val="num" w:pos="720"/>
        </w:tabs>
        <w:ind w:left="720" w:hanging="360"/>
      </w:pPr>
      <w:rPr>
        <w:rFonts w:ascii="Symbol" w:hAnsi="Symbol" w:hint="default"/>
      </w:rPr>
    </w:lvl>
    <w:lvl w:ilvl="4" w:tplc="FFFFFFFF" w:tentative="1">
      <w:start w:val="1"/>
      <w:numFmt w:val="bullet"/>
      <w:lvlText w:val="o"/>
      <w:lvlJc w:val="left"/>
      <w:pPr>
        <w:tabs>
          <w:tab w:val="num" w:pos="1440"/>
        </w:tabs>
        <w:ind w:left="1440" w:hanging="360"/>
      </w:pPr>
      <w:rPr>
        <w:rFonts w:ascii="Courier New" w:hAnsi="Courier New" w:hint="default"/>
      </w:rPr>
    </w:lvl>
    <w:lvl w:ilvl="5" w:tplc="FFFFFFFF" w:tentative="1">
      <w:start w:val="1"/>
      <w:numFmt w:val="bullet"/>
      <w:lvlText w:val=""/>
      <w:lvlJc w:val="left"/>
      <w:pPr>
        <w:tabs>
          <w:tab w:val="num" w:pos="2160"/>
        </w:tabs>
        <w:ind w:left="2160" w:hanging="360"/>
      </w:pPr>
      <w:rPr>
        <w:rFonts w:ascii="Wingdings" w:hAnsi="Wingdings" w:hint="default"/>
      </w:rPr>
    </w:lvl>
    <w:lvl w:ilvl="6" w:tplc="FFFFFFFF" w:tentative="1">
      <w:start w:val="1"/>
      <w:numFmt w:val="bullet"/>
      <w:lvlText w:val=""/>
      <w:lvlJc w:val="left"/>
      <w:pPr>
        <w:tabs>
          <w:tab w:val="num" w:pos="2880"/>
        </w:tabs>
        <w:ind w:left="2880" w:hanging="360"/>
      </w:pPr>
      <w:rPr>
        <w:rFonts w:ascii="Symbol" w:hAnsi="Symbol" w:hint="default"/>
      </w:rPr>
    </w:lvl>
    <w:lvl w:ilvl="7" w:tplc="FFFFFFFF" w:tentative="1">
      <w:start w:val="1"/>
      <w:numFmt w:val="bullet"/>
      <w:lvlText w:val="o"/>
      <w:lvlJc w:val="left"/>
      <w:pPr>
        <w:tabs>
          <w:tab w:val="num" w:pos="3600"/>
        </w:tabs>
        <w:ind w:left="3600" w:hanging="360"/>
      </w:pPr>
      <w:rPr>
        <w:rFonts w:ascii="Courier New" w:hAnsi="Courier New" w:hint="default"/>
      </w:rPr>
    </w:lvl>
    <w:lvl w:ilvl="8" w:tplc="FFFFFFFF" w:tentative="1">
      <w:start w:val="1"/>
      <w:numFmt w:val="bullet"/>
      <w:lvlText w:val=""/>
      <w:lvlJc w:val="left"/>
      <w:pPr>
        <w:tabs>
          <w:tab w:val="num" w:pos="4320"/>
        </w:tabs>
        <w:ind w:left="4320" w:hanging="360"/>
      </w:pPr>
      <w:rPr>
        <w:rFonts w:ascii="Wingdings" w:hAnsi="Wingdings" w:hint="default"/>
      </w:rPr>
    </w:lvl>
  </w:abstractNum>
  <w:abstractNum w:abstractNumId="17" w15:restartNumberingAfterBreak="0">
    <w:nsid w:val="5FB2739A"/>
    <w:multiLevelType w:val="hybridMultilevel"/>
    <w:tmpl w:val="30349E4E"/>
    <w:lvl w:ilvl="0" w:tplc="53382552">
      <w:start w:val="1"/>
      <w:numFmt w:val="decimal"/>
      <w:pStyle w:val="References"/>
      <w:lvlText w:val="[%1]"/>
      <w:lvlJc w:val="left"/>
      <w:pPr>
        <w:tabs>
          <w:tab w:val="num" w:pos="720"/>
        </w:tabs>
        <w:ind w:left="720" w:hanging="360"/>
      </w:pPr>
      <w:rPr>
        <w:rFonts w:hint="default"/>
      </w:rPr>
    </w:lvl>
    <w:lvl w:ilvl="1" w:tplc="3D82EEAA" w:tentative="1">
      <w:start w:val="1"/>
      <w:numFmt w:val="lowerLetter"/>
      <w:lvlText w:val="%2."/>
      <w:lvlJc w:val="left"/>
      <w:pPr>
        <w:tabs>
          <w:tab w:val="num" w:pos="1440"/>
        </w:tabs>
        <w:ind w:left="1440" w:hanging="360"/>
      </w:pPr>
    </w:lvl>
    <w:lvl w:ilvl="2" w:tplc="94A85584" w:tentative="1">
      <w:start w:val="1"/>
      <w:numFmt w:val="lowerRoman"/>
      <w:lvlText w:val="%3."/>
      <w:lvlJc w:val="right"/>
      <w:pPr>
        <w:tabs>
          <w:tab w:val="num" w:pos="2160"/>
        </w:tabs>
        <w:ind w:left="2160" w:hanging="180"/>
      </w:pPr>
    </w:lvl>
    <w:lvl w:ilvl="3" w:tplc="FC1C789A" w:tentative="1">
      <w:start w:val="1"/>
      <w:numFmt w:val="decimal"/>
      <w:lvlText w:val="%4."/>
      <w:lvlJc w:val="left"/>
      <w:pPr>
        <w:tabs>
          <w:tab w:val="num" w:pos="2880"/>
        </w:tabs>
        <w:ind w:left="2880" w:hanging="360"/>
      </w:pPr>
    </w:lvl>
    <w:lvl w:ilvl="4" w:tplc="449476D6" w:tentative="1">
      <w:start w:val="1"/>
      <w:numFmt w:val="lowerLetter"/>
      <w:lvlText w:val="%5."/>
      <w:lvlJc w:val="left"/>
      <w:pPr>
        <w:tabs>
          <w:tab w:val="num" w:pos="3600"/>
        </w:tabs>
        <w:ind w:left="3600" w:hanging="360"/>
      </w:pPr>
    </w:lvl>
    <w:lvl w:ilvl="5" w:tplc="4A2CD442" w:tentative="1">
      <w:start w:val="1"/>
      <w:numFmt w:val="lowerRoman"/>
      <w:lvlText w:val="%6."/>
      <w:lvlJc w:val="right"/>
      <w:pPr>
        <w:tabs>
          <w:tab w:val="num" w:pos="4320"/>
        </w:tabs>
        <w:ind w:left="4320" w:hanging="180"/>
      </w:pPr>
    </w:lvl>
    <w:lvl w:ilvl="6" w:tplc="64B87FF0" w:tentative="1">
      <w:start w:val="1"/>
      <w:numFmt w:val="decimal"/>
      <w:lvlText w:val="%7."/>
      <w:lvlJc w:val="left"/>
      <w:pPr>
        <w:tabs>
          <w:tab w:val="num" w:pos="5040"/>
        </w:tabs>
        <w:ind w:left="5040" w:hanging="360"/>
      </w:pPr>
    </w:lvl>
    <w:lvl w:ilvl="7" w:tplc="84F05848" w:tentative="1">
      <w:start w:val="1"/>
      <w:numFmt w:val="lowerLetter"/>
      <w:lvlText w:val="%8."/>
      <w:lvlJc w:val="left"/>
      <w:pPr>
        <w:tabs>
          <w:tab w:val="num" w:pos="5760"/>
        </w:tabs>
        <w:ind w:left="5760" w:hanging="360"/>
      </w:pPr>
    </w:lvl>
    <w:lvl w:ilvl="8" w:tplc="166EEBBE" w:tentative="1">
      <w:start w:val="1"/>
      <w:numFmt w:val="lowerRoman"/>
      <w:lvlText w:val="%9."/>
      <w:lvlJc w:val="right"/>
      <w:pPr>
        <w:tabs>
          <w:tab w:val="num" w:pos="6480"/>
        </w:tabs>
        <w:ind w:left="6480" w:hanging="180"/>
      </w:pPr>
    </w:lvl>
  </w:abstractNum>
  <w:abstractNum w:abstractNumId="18" w15:restartNumberingAfterBreak="0">
    <w:nsid w:val="612D57B4"/>
    <w:multiLevelType w:val="singleLevel"/>
    <w:tmpl w:val="DAA22320"/>
    <w:lvl w:ilvl="0">
      <w:start w:val="6"/>
      <w:numFmt w:val="upperLetter"/>
      <w:lvlText w:val="%1."/>
      <w:lvlJc w:val="left"/>
      <w:pPr>
        <w:tabs>
          <w:tab w:val="num" w:pos="540"/>
        </w:tabs>
        <w:ind w:left="540" w:hanging="360"/>
      </w:pPr>
      <w:rPr>
        <w:rFonts w:hint="default"/>
      </w:rPr>
    </w:lvl>
  </w:abstractNum>
  <w:abstractNum w:abstractNumId="19" w15:restartNumberingAfterBreak="0">
    <w:nsid w:val="644E61B3"/>
    <w:multiLevelType w:val="hybridMultilevel"/>
    <w:tmpl w:val="BDAE38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536D7C"/>
    <w:multiLevelType w:val="singleLevel"/>
    <w:tmpl w:val="0262A416"/>
    <w:lvl w:ilvl="0">
      <w:start w:val="6"/>
      <w:numFmt w:val="upperLetter"/>
      <w:lvlText w:val="%1."/>
      <w:lvlJc w:val="left"/>
      <w:pPr>
        <w:tabs>
          <w:tab w:val="num" w:pos="540"/>
        </w:tabs>
        <w:ind w:left="540" w:hanging="360"/>
      </w:pPr>
      <w:rPr>
        <w:rFonts w:hint="default"/>
      </w:rPr>
    </w:lvl>
  </w:abstractNum>
  <w:abstractNum w:abstractNumId="21" w15:restartNumberingAfterBreak="0">
    <w:nsid w:val="68BA64C1"/>
    <w:multiLevelType w:val="hybridMultilevel"/>
    <w:tmpl w:val="0D3878A0"/>
    <w:lvl w:ilvl="0" w:tplc="A142DDBC">
      <w:start w:val="1"/>
      <w:numFmt w:val="bullet"/>
      <w:pStyle w:val="Bullets"/>
      <w:lvlText w:val=""/>
      <w:lvlJc w:val="left"/>
      <w:pPr>
        <w:tabs>
          <w:tab w:val="num" w:pos="1080"/>
        </w:tabs>
        <w:ind w:left="1080" w:hanging="360"/>
      </w:pPr>
      <w:rPr>
        <w:rFonts w:ascii="Symbol" w:hAnsi="Symbol" w:hint="default"/>
      </w:rPr>
    </w:lvl>
    <w:lvl w:ilvl="1" w:tplc="F4B0BB7E" w:tentative="1">
      <w:start w:val="1"/>
      <w:numFmt w:val="bullet"/>
      <w:lvlText w:val="o"/>
      <w:lvlJc w:val="left"/>
      <w:pPr>
        <w:tabs>
          <w:tab w:val="num" w:pos="1800"/>
        </w:tabs>
        <w:ind w:left="1800" w:hanging="360"/>
      </w:pPr>
      <w:rPr>
        <w:rFonts w:ascii="Courier New" w:hAnsi="Courier New" w:hint="default"/>
      </w:rPr>
    </w:lvl>
    <w:lvl w:ilvl="2" w:tplc="4B1254A4" w:tentative="1">
      <w:start w:val="1"/>
      <w:numFmt w:val="bullet"/>
      <w:lvlText w:val=""/>
      <w:lvlJc w:val="left"/>
      <w:pPr>
        <w:tabs>
          <w:tab w:val="num" w:pos="2520"/>
        </w:tabs>
        <w:ind w:left="2520" w:hanging="360"/>
      </w:pPr>
      <w:rPr>
        <w:rFonts w:ascii="Wingdings" w:hAnsi="Wingdings" w:hint="default"/>
      </w:rPr>
    </w:lvl>
    <w:lvl w:ilvl="3" w:tplc="A4EED7AE" w:tentative="1">
      <w:start w:val="1"/>
      <w:numFmt w:val="bullet"/>
      <w:lvlText w:val=""/>
      <w:lvlJc w:val="left"/>
      <w:pPr>
        <w:tabs>
          <w:tab w:val="num" w:pos="3240"/>
        </w:tabs>
        <w:ind w:left="3240" w:hanging="360"/>
      </w:pPr>
      <w:rPr>
        <w:rFonts w:ascii="Symbol" w:hAnsi="Symbol" w:hint="default"/>
      </w:rPr>
    </w:lvl>
    <w:lvl w:ilvl="4" w:tplc="AE86E98E" w:tentative="1">
      <w:start w:val="1"/>
      <w:numFmt w:val="bullet"/>
      <w:lvlText w:val="o"/>
      <w:lvlJc w:val="left"/>
      <w:pPr>
        <w:tabs>
          <w:tab w:val="num" w:pos="3960"/>
        </w:tabs>
        <w:ind w:left="3960" w:hanging="360"/>
      </w:pPr>
      <w:rPr>
        <w:rFonts w:ascii="Courier New" w:hAnsi="Courier New" w:hint="default"/>
      </w:rPr>
    </w:lvl>
    <w:lvl w:ilvl="5" w:tplc="84A06466" w:tentative="1">
      <w:start w:val="1"/>
      <w:numFmt w:val="bullet"/>
      <w:lvlText w:val=""/>
      <w:lvlJc w:val="left"/>
      <w:pPr>
        <w:tabs>
          <w:tab w:val="num" w:pos="4680"/>
        </w:tabs>
        <w:ind w:left="4680" w:hanging="360"/>
      </w:pPr>
      <w:rPr>
        <w:rFonts w:ascii="Wingdings" w:hAnsi="Wingdings" w:hint="default"/>
      </w:rPr>
    </w:lvl>
    <w:lvl w:ilvl="6" w:tplc="F6FA5638" w:tentative="1">
      <w:start w:val="1"/>
      <w:numFmt w:val="bullet"/>
      <w:lvlText w:val=""/>
      <w:lvlJc w:val="left"/>
      <w:pPr>
        <w:tabs>
          <w:tab w:val="num" w:pos="5400"/>
        </w:tabs>
        <w:ind w:left="5400" w:hanging="360"/>
      </w:pPr>
      <w:rPr>
        <w:rFonts w:ascii="Symbol" w:hAnsi="Symbol" w:hint="default"/>
      </w:rPr>
    </w:lvl>
    <w:lvl w:ilvl="7" w:tplc="F3B61822" w:tentative="1">
      <w:start w:val="1"/>
      <w:numFmt w:val="bullet"/>
      <w:lvlText w:val="o"/>
      <w:lvlJc w:val="left"/>
      <w:pPr>
        <w:tabs>
          <w:tab w:val="num" w:pos="6120"/>
        </w:tabs>
        <w:ind w:left="6120" w:hanging="360"/>
      </w:pPr>
      <w:rPr>
        <w:rFonts w:ascii="Courier New" w:hAnsi="Courier New" w:hint="default"/>
      </w:rPr>
    </w:lvl>
    <w:lvl w:ilvl="8" w:tplc="3E606300" w:tentative="1">
      <w:start w:val="1"/>
      <w:numFmt w:val="bullet"/>
      <w:lvlText w:val=""/>
      <w:lvlJc w:val="left"/>
      <w:pPr>
        <w:tabs>
          <w:tab w:val="num" w:pos="6840"/>
        </w:tabs>
        <w:ind w:left="6840" w:hanging="360"/>
      </w:pPr>
      <w:rPr>
        <w:rFonts w:ascii="Wingdings" w:hAnsi="Wingdings" w:hint="default"/>
      </w:rPr>
    </w:lvl>
  </w:abstractNum>
  <w:abstractNum w:abstractNumId="22" w15:restartNumberingAfterBreak="0">
    <w:nsid w:val="773A3CD5"/>
    <w:multiLevelType w:val="hybridMultilevel"/>
    <w:tmpl w:val="D766F398"/>
    <w:lvl w:ilvl="0" w:tplc="2FA05F32">
      <w:start w:val="1"/>
      <w:numFmt w:val="bullet"/>
      <w:lvlText w:val=""/>
      <w:lvlJc w:val="left"/>
      <w:pPr>
        <w:tabs>
          <w:tab w:val="num" w:pos="720"/>
        </w:tabs>
        <w:ind w:left="720" w:hanging="360"/>
      </w:pPr>
      <w:rPr>
        <w:rFonts w:ascii="Symbol" w:hAnsi="Symbol" w:hint="default"/>
      </w:rPr>
    </w:lvl>
    <w:lvl w:ilvl="1" w:tplc="7C4255D6" w:tentative="1">
      <w:start w:val="1"/>
      <w:numFmt w:val="bullet"/>
      <w:lvlText w:val="o"/>
      <w:lvlJc w:val="left"/>
      <w:pPr>
        <w:tabs>
          <w:tab w:val="num" w:pos="1440"/>
        </w:tabs>
        <w:ind w:left="1440" w:hanging="360"/>
      </w:pPr>
      <w:rPr>
        <w:rFonts w:ascii="Courier New" w:hAnsi="Courier New" w:hint="default"/>
      </w:rPr>
    </w:lvl>
    <w:lvl w:ilvl="2" w:tplc="77627DA8" w:tentative="1">
      <w:start w:val="1"/>
      <w:numFmt w:val="bullet"/>
      <w:lvlText w:val=""/>
      <w:lvlJc w:val="left"/>
      <w:pPr>
        <w:tabs>
          <w:tab w:val="num" w:pos="2160"/>
        </w:tabs>
        <w:ind w:left="2160" w:hanging="360"/>
      </w:pPr>
      <w:rPr>
        <w:rFonts w:ascii="Wingdings" w:hAnsi="Wingdings" w:hint="default"/>
      </w:rPr>
    </w:lvl>
    <w:lvl w:ilvl="3" w:tplc="F9749952" w:tentative="1">
      <w:start w:val="1"/>
      <w:numFmt w:val="bullet"/>
      <w:lvlText w:val=""/>
      <w:lvlJc w:val="left"/>
      <w:pPr>
        <w:tabs>
          <w:tab w:val="num" w:pos="2880"/>
        </w:tabs>
        <w:ind w:left="2880" w:hanging="360"/>
      </w:pPr>
      <w:rPr>
        <w:rFonts w:ascii="Symbol" w:hAnsi="Symbol" w:hint="default"/>
      </w:rPr>
    </w:lvl>
    <w:lvl w:ilvl="4" w:tplc="71EE5134" w:tentative="1">
      <w:start w:val="1"/>
      <w:numFmt w:val="bullet"/>
      <w:lvlText w:val="o"/>
      <w:lvlJc w:val="left"/>
      <w:pPr>
        <w:tabs>
          <w:tab w:val="num" w:pos="3600"/>
        </w:tabs>
        <w:ind w:left="3600" w:hanging="360"/>
      </w:pPr>
      <w:rPr>
        <w:rFonts w:ascii="Courier New" w:hAnsi="Courier New" w:hint="default"/>
      </w:rPr>
    </w:lvl>
    <w:lvl w:ilvl="5" w:tplc="93D2655E" w:tentative="1">
      <w:start w:val="1"/>
      <w:numFmt w:val="bullet"/>
      <w:lvlText w:val=""/>
      <w:lvlJc w:val="left"/>
      <w:pPr>
        <w:tabs>
          <w:tab w:val="num" w:pos="4320"/>
        </w:tabs>
        <w:ind w:left="4320" w:hanging="360"/>
      </w:pPr>
      <w:rPr>
        <w:rFonts w:ascii="Wingdings" w:hAnsi="Wingdings" w:hint="default"/>
      </w:rPr>
    </w:lvl>
    <w:lvl w:ilvl="6" w:tplc="608C49BC" w:tentative="1">
      <w:start w:val="1"/>
      <w:numFmt w:val="bullet"/>
      <w:lvlText w:val=""/>
      <w:lvlJc w:val="left"/>
      <w:pPr>
        <w:tabs>
          <w:tab w:val="num" w:pos="5040"/>
        </w:tabs>
        <w:ind w:left="5040" w:hanging="360"/>
      </w:pPr>
      <w:rPr>
        <w:rFonts w:ascii="Symbol" w:hAnsi="Symbol" w:hint="default"/>
      </w:rPr>
    </w:lvl>
    <w:lvl w:ilvl="7" w:tplc="08CA7132" w:tentative="1">
      <w:start w:val="1"/>
      <w:numFmt w:val="bullet"/>
      <w:lvlText w:val="o"/>
      <w:lvlJc w:val="left"/>
      <w:pPr>
        <w:tabs>
          <w:tab w:val="num" w:pos="5760"/>
        </w:tabs>
        <w:ind w:left="5760" w:hanging="360"/>
      </w:pPr>
      <w:rPr>
        <w:rFonts w:ascii="Courier New" w:hAnsi="Courier New" w:hint="default"/>
      </w:rPr>
    </w:lvl>
    <w:lvl w:ilvl="8" w:tplc="F328DB0A"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FBA4AFA"/>
    <w:multiLevelType w:val="hybridMultilevel"/>
    <w:tmpl w:val="1E7251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2"/>
  </w:num>
  <w:num w:numId="3">
    <w:abstractNumId w:val="18"/>
  </w:num>
  <w:num w:numId="4">
    <w:abstractNumId w:val="20"/>
  </w:num>
  <w:num w:numId="5">
    <w:abstractNumId w:val="11"/>
  </w:num>
  <w:num w:numId="6">
    <w:abstractNumId w:val="22"/>
  </w:num>
  <w:num w:numId="7">
    <w:abstractNumId w:val="12"/>
  </w:num>
  <w:num w:numId="8">
    <w:abstractNumId w:val="21"/>
  </w:num>
  <w:num w:numId="9">
    <w:abstractNumId w:val="17"/>
  </w:num>
  <w:num w:numId="10">
    <w:abstractNumId w:val="0"/>
  </w:num>
  <w:num w:numId="11">
    <w:abstractNumId w:val="19"/>
  </w:num>
  <w:num w:numId="12">
    <w:abstractNumId w:val="7"/>
  </w:num>
  <w:num w:numId="13">
    <w:abstractNumId w:val="16"/>
  </w:num>
  <w:num w:numId="14">
    <w:abstractNumId w:val="15"/>
  </w:num>
  <w:num w:numId="15">
    <w:abstractNumId w:val="14"/>
  </w:num>
  <w:num w:numId="16">
    <w:abstractNumId w:val="10"/>
  </w:num>
  <w:num w:numId="17">
    <w:abstractNumId w:val="5"/>
  </w:num>
  <w:num w:numId="18">
    <w:abstractNumId w:val="23"/>
  </w:num>
  <w:num w:numId="19">
    <w:abstractNumId w:val="4"/>
  </w:num>
  <w:num w:numId="20">
    <w:abstractNumId w:val="8"/>
  </w:num>
  <w:num w:numId="21">
    <w:abstractNumId w:val="1"/>
  </w:num>
  <w:num w:numId="22">
    <w:abstractNumId w:val="3"/>
  </w:num>
  <w:num w:numId="23">
    <w:abstractNumId w:val="13"/>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defaultTabStop w:val="360"/>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7E1"/>
    <w:rsid w:val="000358F3"/>
    <w:rsid w:val="00036E9C"/>
    <w:rsid w:val="000F02AC"/>
    <w:rsid w:val="000F5867"/>
    <w:rsid w:val="00126D96"/>
    <w:rsid w:val="001478BC"/>
    <w:rsid w:val="001B01E3"/>
    <w:rsid w:val="001B2865"/>
    <w:rsid w:val="001B38E3"/>
    <w:rsid w:val="001F3645"/>
    <w:rsid w:val="002E1C82"/>
    <w:rsid w:val="002F0300"/>
    <w:rsid w:val="002F7A3F"/>
    <w:rsid w:val="00313B9B"/>
    <w:rsid w:val="003164F3"/>
    <w:rsid w:val="0035709B"/>
    <w:rsid w:val="00371B8C"/>
    <w:rsid w:val="003A3E24"/>
    <w:rsid w:val="003E4717"/>
    <w:rsid w:val="00430C7C"/>
    <w:rsid w:val="00434BF5"/>
    <w:rsid w:val="00436279"/>
    <w:rsid w:val="004657BA"/>
    <w:rsid w:val="005204DC"/>
    <w:rsid w:val="00536B16"/>
    <w:rsid w:val="005716B7"/>
    <w:rsid w:val="0059383C"/>
    <w:rsid w:val="0059393A"/>
    <w:rsid w:val="00593FF4"/>
    <w:rsid w:val="005B43A9"/>
    <w:rsid w:val="005D68F3"/>
    <w:rsid w:val="00602E4A"/>
    <w:rsid w:val="00611945"/>
    <w:rsid w:val="00620132"/>
    <w:rsid w:val="006466B8"/>
    <w:rsid w:val="006677E1"/>
    <w:rsid w:val="006B2E01"/>
    <w:rsid w:val="0070126D"/>
    <w:rsid w:val="007719C4"/>
    <w:rsid w:val="00795101"/>
    <w:rsid w:val="007C51AB"/>
    <w:rsid w:val="007C7727"/>
    <w:rsid w:val="007D05FF"/>
    <w:rsid w:val="00802E36"/>
    <w:rsid w:val="00841B19"/>
    <w:rsid w:val="00890EE6"/>
    <w:rsid w:val="008A64E3"/>
    <w:rsid w:val="008D09D1"/>
    <w:rsid w:val="008F5F8B"/>
    <w:rsid w:val="00911083"/>
    <w:rsid w:val="009D19E6"/>
    <w:rsid w:val="009F6755"/>
    <w:rsid w:val="00A01EA3"/>
    <w:rsid w:val="00A07B39"/>
    <w:rsid w:val="00A1659C"/>
    <w:rsid w:val="00A35B20"/>
    <w:rsid w:val="00A87069"/>
    <w:rsid w:val="00B443A2"/>
    <w:rsid w:val="00B47129"/>
    <w:rsid w:val="00B67E22"/>
    <w:rsid w:val="00B74EFD"/>
    <w:rsid w:val="00BF03F2"/>
    <w:rsid w:val="00C26705"/>
    <w:rsid w:val="00CB3203"/>
    <w:rsid w:val="00CD015E"/>
    <w:rsid w:val="00D9226E"/>
    <w:rsid w:val="00D97E4A"/>
    <w:rsid w:val="00DE2589"/>
    <w:rsid w:val="00DF101C"/>
    <w:rsid w:val="00E07D0F"/>
    <w:rsid w:val="00E26634"/>
    <w:rsid w:val="00E97748"/>
    <w:rsid w:val="00EB30D6"/>
    <w:rsid w:val="00F17804"/>
    <w:rsid w:val="00F36D0E"/>
    <w:rsid w:val="00F475C8"/>
    <w:rsid w:val="00FC31E5"/>
    <w:rsid w:val="00FD14B5"/>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EB67F2"/>
  <w15:docId w15:val="{D73B3799-984C-45AB-B628-231A35B3F7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Hyperlink" w:uiPriority="99"/>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8F3"/>
    <w:rPr>
      <w:lang w:eastAsia="pt-BR"/>
    </w:rPr>
  </w:style>
  <w:style w:type="paragraph" w:styleId="Heading1">
    <w:name w:val="heading 1"/>
    <w:basedOn w:val="Normal"/>
    <w:next w:val="Normal"/>
    <w:qFormat/>
    <w:rsid w:val="00B77FE1"/>
    <w:pPr>
      <w:keepNext/>
      <w:spacing w:before="160" w:after="160"/>
      <w:jc w:val="center"/>
      <w:outlineLvl w:val="0"/>
    </w:pPr>
    <w:rPr>
      <w:b/>
      <w:smallCaps/>
      <w:sz w:val="24"/>
    </w:rPr>
  </w:style>
  <w:style w:type="paragraph" w:styleId="Heading2">
    <w:name w:val="heading 2"/>
    <w:basedOn w:val="Normal"/>
    <w:next w:val="Normal"/>
    <w:qFormat/>
    <w:rsid w:val="00B77FE1"/>
    <w:pPr>
      <w:keepNext/>
      <w:spacing w:before="160" w:after="160"/>
      <w:jc w:val="center"/>
      <w:outlineLvl w:val="1"/>
    </w:pPr>
    <w:rPr>
      <w:b/>
    </w:rPr>
  </w:style>
  <w:style w:type="paragraph" w:styleId="Heading3">
    <w:name w:val="heading 3"/>
    <w:basedOn w:val="Normal"/>
    <w:next w:val="Normal"/>
    <w:qFormat/>
    <w:rsid w:val="00B77FE1"/>
    <w:pPr>
      <w:keepNext/>
      <w:spacing w:before="240" w:after="60"/>
      <w:outlineLvl w:val="2"/>
    </w:pPr>
    <w:rPr>
      <w:rFonts w:ascii="Arial" w:hAnsi="Arial" w:cs="Arial"/>
      <w:b/>
      <w:bCs/>
      <w:sz w:val="26"/>
      <w:szCs w:val="26"/>
    </w:rPr>
  </w:style>
  <w:style w:type="paragraph" w:styleId="Heading4">
    <w:name w:val="heading 4"/>
    <w:basedOn w:val="Normal"/>
    <w:next w:val="Normal"/>
    <w:qFormat/>
    <w:rsid w:val="00B77FE1"/>
    <w:pPr>
      <w:keepNext/>
      <w:overflowPunct w:val="0"/>
      <w:autoSpaceDE w:val="0"/>
      <w:autoSpaceDN w:val="0"/>
      <w:adjustRightInd w:val="0"/>
      <w:spacing w:before="240" w:after="60"/>
      <w:textAlignment w:val="baseline"/>
      <w:outlineLvl w:val="3"/>
    </w:pPr>
    <w:rPr>
      <w:rFonts w:ascii="Arial" w:hAnsi="Arial"/>
      <w:b/>
      <w:sz w:val="24"/>
      <w:lang w:eastAsia="en-US"/>
    </w:rPr>
  </w:style>
  <w:style w:type="paragraph" w:styleId="Heading5">
    <w:name w:val="heading 5"/>
    <w:basedOn w:val="Normal"/>
    <w:next w:val="Normal"/>
    <w:qFormat/>
    <w:rsid w:val="00B77FE1"/>
    <w:pPr>
      <w:overflowPunct w:val="0"/>
      <w:autoSpaceDE w:val="0"/>
      <w:autoSpaceDN w:val="0"/>
      <w:adjustRightInd w:val="0"/>
      <w:spacing w:before="240" w:after="60"/>
      <w:textAlignment w:val="baseline"/>
      <w:outlineLvl w:val="4"/>
    </w:pPr>
    <w:rPr>
      <w:rFonts w:ascii="Arial" w:hAnsi="Arial"/>
      <w:sz w:val="22"/>
      <w:lang w:eastAsia="en-US"/>
    </w:rPr>
  </w:style>
  <w:style w:type="paragraph" w:styleId="Heading6">
    <w:name w:val="heading 6"/>
    <w:basedOn w:val="Normal"/>
    <w:next w:val="Normal"/>
    <w:qFormat/>
    <w:rsid w:val="00B77FE1"/>
    <w:pPr>
      <w:overflowPunct w:val="0"/>
      <w:autoSpaceDE w:val="0"/>
      <w:autoSpaceDN w:val="0"/>
      <w:adjustRightInd w:val="0"/>
      <w:spacing w:before="240" w:after="60"/>
      <w:textAlignment w:val="baseline"/>
      <w:outlineLvl w:val="5"/>
    </w:pPr>
    <w:rPr>
      <w:i/>
      <w:sz w:val="22"/>
      <w:lang w:eastAsia="en-US"/>
    </w:rPr>
  </w:style>
  <w:style w:type="paragraph" w:styleId="Heading7">
    <w:name w:val="heading 7"/>
    <w:basedOn w:val="Normal"/>
    <w:next w:val="Normal"/>
    <w:qFormat/>
    <w:rsid w:val="00B77FE1"/>
    <w:pPr>
      <w:overflowPunct w:val="0"/>
      <w:autoSpaceDE w:val="0"/>
      <w:autoSpaceDN w:val="0"/>
      <w:adjustRightInd w:val="0"/>
      <w:spacing w:before="240" w:after="60"/>
      <w:textAlignment w:val="baseline"/>
      <w:outlineLvl w:val="6"/>
    </w:pPr>
    <w:rPr>
      <w:rFonts w:ascii="Arial" w:hAnsi="Arial"/>
      <w:lang w:eastAsia="en-US"/>
    </w:rPr>
  </w:style>
  <w:style w:type="paragraph" w:styleId="Heading8">
    <w:name w:val="heading 8"/>
    <w:basedOn w:val="Normal"/>
    <w:next w:val="Normal"/>
    <w:qFormat/>
    <w:rsid w:val="00B77FE1"/>
    <w:pPr>
      <w:overflowPunct w:val="0"/>
      <w:autoSpaceDE w:val="0"/>
      <w:autoSpaceDN w:val="0"/>
      <w:adjustRightInd w:val="0"/>
      <w:spacing w:before="240" w:after="60"/>
      <w:textAlignment w:val="baseline"/>
      <w:outlineLvl w:val="7"/>
    </w:pPr>
    <w:rPr>
      <w:rFonts w:ascii="Arial" w:hAnsi="Arial"/>
      <w:i/>
      <w:lang w:eastAsia="en-US"/>
    </w:rPr>
  </w:style>
  <w:style w:type="paragraph" w:styleId="Heading9">
    <w:name w:val="heading 9"/>
    <w:basedOn w:val="Normal"/>
    <w:next w:val="Normal"/>
    <w:qFormat/>
    <w:rsid w:val="00B77FE1"/>
    <w:pPr>
      <w:overflowPunct w:val="0"/>
      <w:autoSpaceDE w:val="0"/>
      <w:autoSpaceDN w:val="0"/>
      <w:adjustRightInd w:val="0"/>
      <w:spacing w:before="240" w:after="60"/>
      <w:textAlignment w:val="baseline"/>
      <w:outlineLvl w:val="8"/>
    </w:pPr>
    <w:rPr>
      <w:rFonts w:ascii="Arial" w:hAnsi="Arial"/>
      <w:b/>
      <w:i/>
      <w:sz w:val="1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B77FE1"/>
    <w:pPr>
      <w:ind w:firstLine="360"/>
      <w:jc w:val="both"/>
    </w:pPr>
    <w:rPr>
      <w:lang w:val="x-none"/>
    </w:rPr>
  </w:style>
  <w:style w:type="character" w:styleId="Hyperlink">
    <w:name w:val="Hyperlink"/>
    <w:uiPriority w:val="99"/>
    <w:rsid w:val="00B77FE1"/>
    <w:rPr>
      <w:color w:val="0000FF"/>
      <w:u w:val="single"/>
    </w:rPr>
  </w:style>
  <w:style w:type="paragraph" w:styleId="Title">
    <w:name w:val="Title"/>
    <w:basedOn w:val="Normal"/>
    <w:qFormat/>
    <w:rsid w:val="006223EB"/>
    <w:pPr>
      <w:jc w:val="center"/>
    </w:pPr>
    <w:rPr>
      <w:sz w:val="48"/>
      <w:szCs w:val="48"/>
    </w:rPr>
  </w:style>
  <w:style w:type="paragraph" w:styleId="DocumentMap">
    <w:name w:val="Document Map"/>
    <w:basedOn w:val="Normal"/>
    <w:semiHidden/>
    <w:rsid w:val="00B77FE1"/>
    <w:pPr>
      <w:shd w:val="clear" w:color="auto" w:fill="000080"/>
    </w:pPr>
    <w:rPr>
      <w:rFonts w:ascii="Tahoma" w:hAnsi="Tahoma" w:cs="Tahoma"/>
    </w:rPr>
  </w:style>
  <w:style w:type="paragraph" w:customStyle="1" w:styleId="Abstract">
    <w:name w:val="Abstract"/>
    <w:basedOn w:val="Normal"/>
    <w:link w:val="AbstractChar"/>
    <w:rsid w:val="00E46C0F"/>
    <w:pPr>
      <w:jc w:val="both"/>
    </w:pPr>
    <w:rPr>
      <w:b/>
    </w:rPr>
  </w:style>
  <w:style w:type="paragraph" w:customStyle="1" w:styleId="FirstParagraph">
    <w:name w:val="First Paragraph"/>
    <w:basedOn w:val="BodyText"/>
    <w:rsid w:val="00B77FE1"/>
    <w:pPr>
      <w:ind w:firstLine="0"/>
    </w:pPr>
  </w:style>
  <w:style w:type="paragraph" w:customStyle="1" w:styleId="Author">
    <w:name w:val="Author"/>
    <w:basedOn w:val="Title"/>
    <w:rsid w:val="006223EB"/>
    <w:rPr>
      <w:bCs/>
      <w:iCs/>
      <w:sz w:val="22"/>
      <w:szCs w:val="22"/>
    </w:rPr>
  </w:style>
  <w:style w:type="paragraph" w:customStyle="1" w:styleId="Bullets">
    <w:name w:val="Bullets"/>
    <w:basedOn w:val="BodyText"/>
    <w:rsid w:val="00B77FE1"/>
    <w:pPr>
      <w:numPr>
        <w:numId w:val="8"/>
      </w:numPr>
      <w:tabs>
        <w:tab w:val="clear" w:pos="1080"/>
      </w:tabs>
      <w:ind w:left="360"/>
    </w:pPr>
  </w:style>
  <w:style w:type="paragraph" w:styleId="Header">
    <w:name w:val="header"/>
    <w:basedOn w:val="Normal"/>
    <w:rsid w:val="00B77FE1"/>
    <w:pPr>
      <w:tabs>
        <w:tab w:val="center" w:pos="4320"/>
        <w:tab w:val="right" w:pos="8640"/>
      </w:tabs>
      <w:jc w:val="right"/>
    </w:pPr>
    <w:rPr>
      <w:b/>
      <w:sz w:val="28"/>
    </w:rPr>
  </w:style>
  <w:style w:type="paragraph" w:customStyle="1" w:styleId="References">
    <w:name w:val="References"/>
    <w:basedOn w:val="Normal"/>
    <w:rsid w:val="00B77FE1"/>
    <w:pPr>
      <w:numPr>
        <w:numId w:val="9"/>
      </w:numPr>
      <w:tabs>
        <w:tab w:val="clear" w:pos="720"/>
      </w:tabs>
      <w:spacing w:after="120"/>
      <w:ind w:left="360"/>
    </w:pPr>
    <w:rPr>
      <w:sz w:val="16"/>
      <w:szCs w:val="16"/>
    </w:rPr>
  </w:style>
  <w:style w:type="paragraph" w:styleId="Footer">
    <w:name w:val="footer"/>
    <w:basedOn w:val="Normal"/>
    <w:rsid w:val="00FB4329"/>
    <w:pPr>
      <w:tabs>
        <w:tab w:val="center" w:pos="5040"/>
        <w:tab w:val="right" w:pos="10080"/>
      </w:tabs>
    </w:pPr>
    <w:rPr>
      <w:b/>
    </w:rPr>
  </w:style>
  <w:style w:type="character" w:styleId="PageNumber">
    <w:name w:val="page number"/>
    <w:rsid w:val="00B77FE1"/>
    <w:rPr>
      <w:rFonts w:ascii="Times" w:hAnsi="Times"/>
    </w:rPr>
  </w:style>
  <w:style w:type="paragraph" w:styleId="FootnoteText">
    <w:name w:val="footnote text"/>
    <w:basedOn w:val="Normal"/>
    <w:semiHidden/>
    <w:rsid w:val="00B77FE1"/>
    <w:rPr>
      <w:sz w:val="16"/>
    </w:rPr>
  </w:style>
  <w:style w:type="character" w:styleId="FootnoteReference">
    <w:name w:val="footnote reference"/>
    <w:semiHidden/>
    <w:rsid w:val="00B77FE1"/>
    <w:rPr>
      <w:vertAlign w:val="superscript"/>
      <w:lang w:val="en-US"/>
    </w:rPr>
  </w:style>
  <w:style w:type="paragraph" w:customStyle="1" w:styleId="SectionHeading">
    <w:name w:val="Section Heading"/>
    <w:rsid w:val="001D31FC"/>
    <w:pPr>
      <w:spacing w:before="160" w:after="160"/>
      <w:jc w:val="center"/>
    </w:pPr>
    <w:rPr>
      <w:b/>
      <w:smallCaps/>
    </w:rPr>
  </w:style>
  <w:style w:type="paragraph" w:customStyle="1" w:styleId="FigureHeading">
    <w:name w:val="Figure Heading"/>
    <w:basedOn w:val="Normal"/>
    <w:rsid w:val="008C3037"/>
    <w:pPr>
      <w:jc w:val="center"/>
    </w:pPr>
    <w:rPr>
      <w:caps/>
      <w:sz w:val="16"/>
      <w:szCs w:val="16"/>
    </w:rPr>
  </w:style>
  <w:style w:type="paragraph" w:customStyle="1" w:styleId="SubHeadings">
    <w:name w:val="Sub Headings"/>
    <w:rsid w:val="00D94971"/>
    <w:pPr>
      <w:spacing w:before="120" w:after="120"/>
    </w:pPr>
    <w:rPr>
      <w:i/>
    </w:rPr>
  </w:style>
  <w:style w:type="paragraph" w:customStyle="1" w:styleId="FigureCaptions">
    <w:name w:val="Figure Captions"/>
    <w:rsid w:val="008C3037"/>
    <w:pPr>
      <w:jc w:val="center"/>
    </w:pPr>
    <w:rPr>
      <w:smallCaps/>
      <w:sz w:val="16"/>
      <w:szCs w:val="16"/>
    </w:rPr>
  </w:style>
  <w:style w:type="paragraph" w:customStyle="1" w:styleId="Text">
    <w:name w:val="Text"/>
    <w:basedOn w:val="Normal"/>
    <w:rsid w:val="004546E3"/>
    <w:pPr>
      <w:widowControl w:val="0"/>
      <w:overflowPunct w:val="0"/>
      <w:autoSpaceDE w:val="0"/>
      <w:autoSpaceDN w:val="0"/>
      <w:adjustRightInd w:val="0"/>
      <w:ind w:firstLine="360"/>
      <w:jc w:val="both"/>
      <w:textAlignment w:val="baseline"/>
    </w:pPr>
    <w:rPr>
      <w:lang w:eastAsia="en-US"/>
    </w:rPr>
  </w:style>
  <w:style w:type="paragraph" w:customStyle="1" w:styleId="chairlist">
    <w:name w:val="chairlist"/>
    <w:basedOn w:val="Normal"/>
    <w:rsid w:val="00B77FE1"/>
    <w:pPr>
      <w:spacing w:before="100" w:beforeAutospacing="1" w:after="100" w:afterAutospacing="1"/>
    </w:pPr>
    <w:rPr>
      <w:sz w:val="24"/>
      <w:szCs w:val="24"/>
      <w:lang w:eastAsia="en-US"/>
    </w:rPr>
  </w:style>
  <w:style w:type="character" w:styleId="FollowedHyperlink">
    <w:name w:val="FollowedHyperlink"/>
    <w:rsid w:val="00B77FE1"/>
    <w:rPr>
      <w:color w:val="800080"/>
      <w:u w:val="single"/>
    </w:rPr>
  </w:style>
  <w:style w:type="paragraph" w:styleId="NormalWeb">
    <w:name w:val="Normal (Web)"/>
    <w:basedOn w:val="Normal"/>
    <w:uiPriority w:val="99"/>
    <w:rsid w:val="00B77FE1"/>
    <w:pPr>
      <w:spacing w:before="100" w:beforeAutospacing="1" w:after="100" w:afterAutospacing="1"/>
    </w:pPr>
    <w:rPr>
      <w:rFonts w:ascii="Arial Unicode MS" w:eastAsia="Arial Unicode MS" w:hAnsi="Arial Unicode MS" w:cs="Arial Unicode MS"/>
      <w:sz w:val="24"/>
      <w:szCs w:val="24"/>
      <w:lang w:eastAsia="en-US"/>
    </w:rPr>
  </w:style>
  <w:style w:type="character" w:customStyle="1" w:styleId="bold12">
    <w:name w:val="bold12"/>
    <w:basedOn w:val="DefaultParagraphFont"/>
    <w:rsid w:val="00B77FE1"/>
  </w:style>
  <w:style w:type="paragraph" w:styleId="HTMLPreformatted">
    <w:name w:val="HTML Preformatted"/>
    <w:basedOn w:val="Normal"/>
    <w:rsid w:val="00B77F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lang w:eastAsia="en-US"/>
    </w:rPr>
  </w:style>
  <w:style w:type="paragraph" w:customStyle="1" w:styleId="Affiliation">
    <w:name w:val="Affiliation"/>
    <w:basedOn w:val="Author"/>
    <w:rsid w:val="001D31FC"/>
    <w:rPr>
      <w:sz w:val="20"/>
      <w:szCs w:val="20"/>
    </w:rPr>
  </w:style>
  <w:style w:type="character" w:customStyle="1" w:styleId="AbstractChar">
    <w:name w:val="Abstract Char"/>
    <w:link w:val="Abstract"/>
    <w:rsid w:val="00E46C0F"/>
    <w:rPr>
      <w:b/>
      <w:lang w:val="en-US" w:eastAsia="pt-BR" w:bidi="ar-SA"/>
    </w:rPr>
  </w:style>
  <w:style w:type="paragraph" w:customStyle="1" w:styleId="Tabletext">
    <w:name w:val="Table text"/>
    <w:basedOn w:val="FootnoteText"/>
    <w:rsid w:val="00AA3364"/>
    <w:rPr>
      <w:szCs w:val="16"/>
    </w:rPr>
  </w:style>
  <w:style w:type="paragraph" w:styleId="EndnoteText">
    <w:name w:val="endnote text"/>
    <w:basedOn w:val="Normal"/>
    <w:link w:val="EndnoteTextChar"/>
    <w:rsid w:val="006A6F93"/>
    <w:rPr>
      <w:sz w:val="16"/>
      <w:lang w:val="x-none"/>
    </w:rPr>
  </w:style>
  <w:style w:type="character" w:customStyle="1" w:styleId="EndnoteTextChar">
    <w:name w:val="Endnote Text Char"/>
    <w:link w:val="EndnoteText"/>
    <w:rsid w:val="006A6F93"/>
    <w:rPr>
      <w:sz w:val="16"/>
      <w:lang w:eastAsia="pt-BR"/>
    </w:rPr>
  </w:style>
  <w:style w:type="character" w:styleId="EndnoteReference">
    <w:name w:val="endnote reference"/>
    <w:rsid w:val="006A6F93"/>
    <w:rPr>
      <w:rFonts w:ascii="Times New Roman" w:hAnsi="Times New Roman"/>
      <w:sz w:val="18"/>
    </w:rPr>
  </w:style>
  <w:style w:type="character" w:customStyle="1" w:styleId="committeehead">
    <w:name w:val="committeehead"/>
    <w:basedOn w:val="DefaultParagraphFont"/>
    <w:rsid w:val="0044660F"/>
  </w:style>
  <w:style w:type="paragraph" w:styleId="BalloonText">
    <w:name w:val="Balloon Text"/>
    <w:basedOn w:val="Normal"/>
    <w:link w:val="BalloonTextChar"/>
    <w:rsid w:val="00393108"/>
    <w:rPr>
      <w:rFonts w:ascii="Tahoma" w:hAnsi="Tahoma"/>
      <w:sz w:val="16"/>
      <w:szCs w:val="16"/>
      <w:lang w:val="x-none"/>
    </w:rPr>
  </w:style>
  <w:style w:type="character" w:customStyle="1" w:styleId="BalloonTextChar">
    <w:name w:val="Balloon Text Char"/>
    <w:link w:val="BalloonText"/>
    <w:rsid w:val="00393108"/>
    <w:rPr>
      <w:rFonts w:ascii="Tahoma" w:hAnsi="Tahoma" w:cs="Tahoma"/>
      <w:sz w:val="16"/>
      <w:szCs w:val="16"/>
      <w:lang w:eastAsia="pt-BR"/>
    </w:rPr>
  </w:style>
  <w:style w:type="character" w:customStyle="1" w:styleId="BodyTextChar">
    <w:name w:val="Body Text Char"/>
    <w:link w:val="BodyText"/>
    <w:rsid w:val="00E57641"/>
    <w:rPr>
      <w:lang w:eastAsia="pt-BR"/>
    </w:rPr>
  </w:style>
  <w:style w:type="paragraph" w:styleId="PlainText">
    <w:name w:val="Plain Text"/>
    <w:basedOn w:val="Normal"/>
    <w:link w:val="PlainTextChar"/>
    <w:uiPriority w:val="99"/>
    <w:unhideWhenUsed/>
    <w:rsid w:val="00E57641"/>
    <w:rPr>
      <w:rFonts w:ascii="Consolas" w:eastAsia="Calibri" w:hAnsi="Consolas"/>
      <w:sz w:val="21"/>
      <w:szCs w:val="21"/>
      <w:lang w:val="x-none" w:eastAsia="x-none"/>
    </w:rPr>
  </w:style>
  <w:style w:type="character" w:customStyle="1" w:styleId="PlainTextChar">
    <w:name w:val="Plain Text Char"/>
    <w:link w:val="PlainText"/>
    <w:uiPriority w:val="99"/>
    <w:rsid w:val="00E57641"/>
    <w:rPr>
      <w:rFonts w:ascii="Consolas" w:eastAsia="Calibri" w:hAnsi="Consolas"/>
      <w:sz w:val="21"/>
      <w:szCs w:val="21"/>
    </w:rPr>
  </w:style>
  <w:style w:type="character" w:customStyle="1" w:styleId="UnresolvedMention">
    <w:name w:val="Unresolved Mention"/>
    <w:basedOn w:val="DefaultParagraphFont"/>
    <w:uiPriority w:val="99"/>
    <w:semiHidden/>
    <w:unhideWhenUsed/>
    <w:rsid w:val="00D97E4A"/>
    <w:rPr>
      <w:color w:val="605E5C"/>
      <w:shd w:val="clear" w:color="auto" w:fill="E1DFDD"/>
    </w:rPr>
  </w:style>
  <w:style w:type="paragraph" w:styleId="ListParagraph">
    <w:name w:val="List Paragraph"/>
    <w:basedOn w:val="Normal"/>
    <w:uiPriority w:val="34"/>
    <w:qFormat/>
    <w:rsid w:val="006B2E01"/>
    <w:pPr>
      <w:ind w:left="720"/>
      <w:contextualSpacing/>
    </w:pPr>
  </w:style>
  <w:style w:type="character" w:styleId="PlaceholderText">
    <w:name w:val="Placeholder Text"/>
    <w:basedOn w:val="DefaultParagraphFont"/>
    <w:uiPriority w:val="99"/>
    <w:semiHidden/>
    <w:rsid w:val="00890EE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8025960">
      <w:bodyDiv w:val="1"/>
      <w:marLeft w:val="0"/>
      <w:marRight w:val="0"/>
      <w:marTop w:val="0"/>
      <w:marBottom w:val="0"/>
      <w:divBdr>
        <w:top w:val="none" w:sz="0" w:space="0" w:color="auto"/>
        <w:left w:val="none" w:sz="0" w:space="0" w:color="auto"/>
        <w:bottom w:val="none" w:sz="0" w:space="0" w:color="auto"/>
        <w:right w:val="none" w:sz="0" w:space="0" w:color="auto"/>
      </w:divBdr>
    </w:div>
    <w:div w:id="624701422">
      <w:bodyDiv w:val="1"/>
      <w:marLeft w:val="0"/>
      <w:marRight w:val="0"/>
      <w:marTop w:val="0"/>
      <w:marBottom w:val="0"/>
      <w:divBdr>
        <w:top w:val="none" w:sz="0" w:space="0" w:color="auto"/>
        <w:left w:val="none" w:sz="0" w:space="0" w:color="auto"/>
        <w:bottom w:val="none" w:sz="0" w:space="0" w:color="auto"/>
        <w:right w:val="none" w:sz="0" w:space="0" w:color="auto"/>
      </w:divBdr>
    </w:div>
    <w:div w:id="635523962">
      <w:bodyDiv w:val="1"/>
      <w:marLeft w:val="0"/>
      <w:marRight w:val="0"/>
      <w:marTop w:val="0"/>
      <w:marBottom w:val="0"/>
      <w:divBdr>
        <w:top w:val="none" w:sz="0" w:space="0" w:color="auto"/>
        <w:left w:val="none" w:sz="0" w:space="0" w:color="auto"/>
        <w:bottom w:val="none" w:sz="0" w:space="0" w:color="auto"/>
        <w:right w:val="none" w:sz="0" w:space="0" w:color="auto"/>
      </w:divBdr>
    </w:div>
    <w:div w:id="1020476241">
      <w:bodyDiv w:val="1"/>
      <w:marLeft w:val="0"/>
      <w:marRight w:val="0"/>
      <w:marTop w:val="0"/>
      <w:marBottom w:val="0"/>
      <w:divBdr>
        <w:top w:val="none" w:sz="0" w:space="0" w:color="auto"/>
        <w:left w:val="none" w:sz="0" w:space="0" w:color="auto"/>
        <w:bottom w:val="none" w:sz="0" w:space="0" w:color="auto"/>
        <w:right w:val="none" w:sz="0" w:space="0" w:color="auto"/>
      </w:divBdr>
    </w:div>
    <w:div w:id="1574582554">
      <w:bodyDiv w:val="1"/>
      <w:marLeft w:val="0"/>
      <w:marRight w:val="0"/>
      <w:marTop w:val="0"/>
      <w:marBottom w:val="0"/>
      <w:divBdr>
        <w:top w:val="none" w:sz="0" w:space="0" w:color="auto"/>
        <w:left w:val="none" w:sz="0" w:space="0" w:color="auto"/>
        <w:bottom w:val="none" w:sz="0" w:space="0" w:color="auto"/>
        <w:right w:val="none" w:sz="0" w:space="0" w:color="auto"/>
      </w:divBdr>
    </w:div>
    <w:div w:id="1872263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14C07-5187-477E-BC25-995E4B8368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4137</Words>
  <Characters>23583</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Preparation of Papers in Two-Column Format</vt:lpstr>
    </vt:vector>
  </TitlesOfParts>
  <Manager/>
  <Company/>
  <LinksUpToDate>false</LinksUpToDate>
  <CharactersWithSpaces>27665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in Two-Column Format</dc:title>
  <dc:subject/>
  <dc:creator>SIEDS 2015</dc:creator>
  <cp:keywords/>
  <dc:description/>
  <cp:lastModifiedBy>LANA JALAL HASAN GIDAN</cp:lastModifiedBy>
  <cp:revision>2</cp:revision>
  <cp:lastPrinted>2008-02-17T15:35:00Z</cp:lastPrinted>
  <dcterms:created xsi:type="dcterms:W3CDTF">2026-05-10T12:20:00Z</dcterms:created>
  <dcterms:modified xsi:type="dcterms:W3CDTF">2026-05-10T12:20:00Z</dcterms:modified>
  <cp:category/>
</cp:coreProperties>
</file>