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val="0"/>
          <w:i w:val="0"/>
          <w:sz w:val="48"/>
          <w:u w:val="none"/>
        </w:rPr>
        <w:t>Using Logistic Regression to Determine U.S. Equity Performance</w:t>
      </w:r>
    </w:p>
    <w:p>
      <w:pPr>
        <w:spacing w:before="0" w:after="0" w:line="240" w:lineRule="auto"/>
        <w:jc w:val="both"/>
      </w:pPr>
      <w:r>
        <w:rPr>
          <w:rFonts w:ascii="Times New Roman" w:hAnsi="Times New Roman"/>
          <w:b w:val="0"/>
          <w:i w:val="0"/>
          <w:sz w:val="22"/>
          <w:u w:val="none"/>
        </w:rPr>
      </w:r>
    </w:p>
    <w:p>
      <w:pPr>
        <w:spacing w:before="0" w:after="0" w:line="240" w:lineRule="auto"/>
        <w:jc w:val="center"/>
      </w:pPr>
      <w:r>
        <w:rPr>
          <w:rFonts w:ascii="Times New Roman" w:hAnsi="Times New Roman"/>
          <w:b w:val="0"/>
          <w:i w:val="0"/>
          <w:sz w:val="22"/>
          <w:u w:val="none"/>
        </w:rPr>
        <w:t>Lana Gidan, Matthew Golubow, and Shahd Tarman</w:t>
      </w:r>
    </w:p>
    <w:p>
      <w:pPr>
        <w:spacing w:before="0" w:after="0" w:line="240" w:lineRule="auto"/>
        <w:jc w:val="center"/>
      </w:pPr>
      <w:r>
        <w:rPr>
          <w:rFonts w:ascii="Times New Roman" w:hAnsi="Times New Roman"/>
          <w:b w:val="0"/>
          <w:i w:val="0"/>
          <w:sz w:val="20"/>
          <w:u w:val="none"/>
        </w:rPr>
        <w:t>Binghamton University, lgidan@binghamton.edu, mgolubo1@binghamton.edu, starman@binghamton.edu</w:t>
      </w:r>
    </w:p>
    <w:p>
      <w:pPr>
        <w:spacing w:before="0" w:after="0" w:line="240" w:lineRule="auto"/>
        <w:jc w:val="both"/>
      </w:pPr>
      <w:r>
        <w:rPr>
          <w:rFonts w:ascii="Times New Roman" w:hAnsi="Times New Roman"/>
          <w:b w:val="0"/>
          <w:i w:val="0"/>
          <w:sz w:val="20"/>
          <w:u w:val="none"/>
        </w:rPr>
      </w:r>
    </w:p>
    <w:p>
      <w:pPr>
        <w:spacing w:before="0" w:after="0" w:line="240" w:lineRule="auto"/>
        <w:jc w:val="both"/>
      </w:pPr>
      <w:r>
        <w:rPr>
          <w:rFonts w:ascii="Times New Roman" w:hAnsi="Times New Roman"/>
          <w:b w:val="0"/>
          <w:i w:val="0"/>
          <w:sz w:val="20"/>
          <w:u w:val="none"/>
        </w:rPr>
      </w:r>
    </w:p>
    <w:p>
      <w:pPr>
        <w:spacing w:before="0" w:after="0" w:line="240" w:lineRule="auto"/>
        <w:jc w:val="both"/>
      </w:pPr>
      <w:r>
        <w:rPr>
          <w:rFonts w:ascii="Times New Roman" w:hAnsi="Times New Roman"/>
          <w:b/>
          <w:i/>
          <w:sz w:val="20"/>
          <w:u w:val="none"/>
        </w:rPr>
        <w:t>Abstract—</w:t>
      </w:r>
      <w:r>
        <w:rPr>
          <w:rFonts w:ascii="Times New Roman" w:hAnsi="Times New Roman"/>
          <w:b/>
          <w:i w:val="0"/>
          <w:sz w:val="20"/>
          <w:u w:val="none"/>
        </w:rPr>
        <w:t>Predicting which stocks will outperform a broad market index is a central problem in quantitative finance. This paper applies logistic regression to quarterly financial statement data for S&amp;P 500 constituent companies over a 15-year training window (Q1 2010–Q4 2024) to predict whether each company will outperform the S&amp;P 500 index in the following quarter. The methodology follows the benchmark established by Ananthakumar and Sarkar (2017), including Variance Inflation Factor (VIF) filtering at a threshold of 2.5 and Principal Component Analysis (PCA) with a per-component variance threshold of 5%, reducing 24 engineered features to 9 uncorrelated principal components. A global pooled logistic regression model achieves 53.2% accuracy and an AUC of 0.5381, which is statistically significant (p &lt; 0.0001) but falls below the benchmark accuracy of 71.2%. Segmentation experiments across 45 configurations—using GICS sector labels, market capitalization tiers, and K-Means clustering—demonstrate that sector-specific models substantially improve performance. The best configuration, Communication Services with K-Means clustering (k=2, Cluster 0), achieves 63.9% accuracy and AUC 0.6902. A Gradient Boosting benchmark (AUC 0.6589) confirms the presence of non-linear patterns beyond the reach of logistic regression. Out-of-sample validation on 1,219 stock-quarter predictions across all four quarters of 2025 yields accuracy ranging from 44.6% (Q1 2025, a bear-market quarter) to 57.5% (Q4 2025). A simulated long portfolio of predicted outperformers underperformed the S&amp;P 500 in Q2 and Q3 2025 but marginally beat it in Q4 2025, consistent with the semi-strong form of the Efficient Market Hypothesis.</w:t>
      </w:r>
    </w:p>
    <w:p>
      <w:pPr>
        <w:spacing w:before="80" w:after="0" w:line="240" w:lineRule="auto"/>
        <w:jc w:val="both"/>
      </w:pPr>
      <w:r>
        <w:rPr>
          <w:rFonts w:ascii="Times New Roman" w:hAnsi="Times New Roman"/>
          <w:b w:val="0"/>
          <w:i/>
          <w:sz w:val="20"/>
          <w:u w:val="none"/>
        </w:rPr>
        <w:t>Index Terms—</w:t>
      </w:r>
      <w:r>
        <w:rPr>
          <w:rFonts w:ascii="Times New Roman" w:hAnsi="Times New Roman"/>
          <w:b w:val="0"/>
          <w:i w:val="0"/>
          <w:sz w:val="20"/>
          <w:u w:val="none"/>
        </w:rPr>
        <w:t>Efficient Market Hypothesis, Logistic Regression, Principal Component Analysis, S&amp;P 500, Stock Outperformance Prediction.</w:t>
      </w:r>
    </w:p>
    <w:p>
      <w:pPr>
        <w:spacing w:before="200" w:after="0" w:line="240" w:lineRule="auto"/>
        <w:jc w:val="both"/>
        <w:sectPr>
          <w:type w:val="continuous"/>
          <w:cols w:num="2" w:space="288" w:equalWidth="1"/>
        </w:sectPr>
      </w:pPr>
    </w:p>
    <w:p>
      <w:pPr>
        <w:spacing w:before="160" w:after="160" w:line="240" w:lineRule="auto"/>
        <w:jc w:val="center"/>
      </w:pPr>
      <w:r>
        <w:rPr>
          <w:rFonts w:ascii="Times New Roman" w:hAnsi="Times New Roman"/>
          <w:b/>
          <w:i w:val="0"/>
          <w:smallCaps/>
          <w:sz w:val="20"/>
          <w:u w:val="none"/>
        </w:rPr>
        <w:t>I. Introduction</w:t>
      </w:r>
    </w:p>
    <w:p>
      <w:pPr>
        <w:spacing w:before="0" w:after="0" w:line="240" w:lineRule="auto"/>
        <w:ind w:firstLine="0"/>
        <w:jc w:val="both"/>
      </w:pPr>
      <w:r>
        <w:rPr>
          <w:rFonts w:ascii="Times New Roman" w:hAnsi="Times New Roman"/>
          <w:b w:val="0"/>
          <w:i w:val="0"/>
          <w:sz w:val="20"/>
          <w:u w:val="none"/>
        </w:rPr>
        <w:t>The Securities and Exchange Commission (SEC) mandates that all publicly traded companies disclose quarterly financial statements via Form 10-Q. These disclosures provide a rich, publicly available time series of financial ratios that analysts routinely use to evaluate company health and relative value.</w:t>
      </w:r>
    </w:p>
    <w:p>
      <w:pPr>
        <w:spacing w:before="0" w:after="0" w:line="240" w:lineRule="auto"/>
        <w:ind w:firstLine="360"/>
        <w:jc w:val="both"/>
      </w:pPr>
      <w:r>
        <w:rPr>
          <w:rFonts w:ascii="Times New Roman" w:hAnsi="Times New Roman"/>
          <w:b w:val="0"/>
          <w:i w:val="0"/>
          <w:sz w:val="20"/>
          <w:u w:val="none"/>
        </w:rPr>
        <w:t>This paper addresses a specific question: can these publicly disclosed quarterly financials predict, one quarter in advance, whether a given S&amp;P 500 company's stock return will exceed that of the index itself? A positive answer would have direct implications for active portfolio management and would challenge the semi-strong form of the Efficient Market Hypothesis (EMH), which asserts that all publicly available information is already reflected in current prices.</w:t>
      </w:r>
    </w:p>
    <w:p>
      <w:pPr>
        <w:spacing w:before="0" w:after="0" w:line="240" w:lineRule="auto"/>
        <w:ind w:firstLine="360"/>
        <w:jc w:val="both"/>
      </w:pPr>
      <w:r>
        <w:rPr>
          <w:rFonts w:ascii="Times New Roman" w:hAnsi="Times New Roman"/>
          <w:b w:val="0"/>
          <w:i w:val="0"/>
          <w:sz w:val="20"/>
          <w:u w:val="none"/>
        </w:rPr>
        <w:t>The study is structured around three research questions: (Q1) Can logistic regression applied to quarterly financial ratios statistically discriminate outperformers from underperformers? (Q2) Does sector segmentation materially improve predictive accuracy over a global pooled model? (Q3) Can model-predicted outperformers be used to construct a portfolio that beats the S&amp;P 500 on a quarterly basis?</w:t>
      </w:r>
    </w:p>
    <w:p>
      <w:pPr>
        <w:spacing w:before="0" w:after="0" w:line="240" w:lineRule="auto"/>
        <w:ind w:firstLine="360"/>
        <w:jc w:val="both"/>
      </w:pPr>
      <w:r>
        <w:rPr>
          <w:rFonts w:ascii="Times New Roman" w:hAnsi="Times New Roman"/>
          <w:b w:val="0"/>
          <w:i w:val="0"/>
          <w:sz w:val="20"/>
          <w:u w:val="none"/>
        </w:rPr>
        <w:t>We benchmark against Ananthakumar and Sarkar (2017) [1], who reported 71.2% accuracy on S&amp;P 500 constituents using a similar logistic regression framework with VIF-based variable selection. Their threshold of 2.5 for VIF filtering and their forward-looking label construction are adopted directly in this study.</w:t>
      </w:r>
    </w:p>
    <w:p>
      <w:pPr>
        <w:spacing w:before="160" w:after="160" w:line="240" w:lineRule="auto"/>
        <w:jc w:val="center"/>
      </w:pPr>
      <w:r>
        <w:rPr>
          <w:rFonts w:ascii="Times New Roman" w:hAnsi="Times New Roman"/>
          <w:b/>
          <w:i w:val="0"/>
          <w:smallCaps/>
          <w:sz w:val="20"/>
          <w:u w:val="none"/>
        </w:rPr>
        <w:t>II. Related Work</w:t>
      </w:r>
    </w:p>
    <w:p>
      <w:pPr>
        <w:spacing w:before="0" w:after="0" w:line="240" w:lineRule="auto"/>
        <w:ind w:firstLine="0"/>
        <w:jc w:val="both"/>
      </w:pPr>
      <w:r>
        <w:rPr>
          <w:rFonts w:ascii="Times New Roman" w:hAnsi="Times New Roman"/>
          <w:b w:val="0"/>
          <w:i w:val="0"/>
          <w:sz w:val="20"/>
          <w:u w:val="none"/>
        </w:rPr>
        <w:t>Quantitative stock selection has been studied extensively since Fama and French (1992) [2], who documented that book-to-market and size factors explain cross-sectional variation in equity returns beyond the Capital Asset Pricing Model. Piotroski (2000) [3] demonstrated that a simple nine-variable accounting-based score could separate high- from low-return value stocks with high accuracy.</w:t>
      </w:r>
    </w:p>
    <w:p>
      <w:pPr>
        <w:spacing w:before="0" w:after="0" w:line="240" w:lineRule="auto"/>
        <w:ind w:firstLine="360"/>
        <w:jc w:val="both"/>
      </w:pPr>
      <w:r>
        <w:rPr>
          <w:rFonts w:ascii="Times New Roman" w:hAnsi="Times New Roman"/>
          <w:b w:val="0"/>
          <w:i w:val="0"/>
          <w:sz w:val="20"/>
          <w:u w:val="none"/>
        </w:rPr>
        <w:t>More directly relevant to this work, Ananthakumar and Sarkar (2017) [1] applied logistic regression with VIF variable selection (threshold 2.5) to quarterly Compustat data for S&amp;P 500 constituents, achieving 71.2% prediction accuracy. Their framework serves as the methodological and performance benchmark for this study.</w:t>
      </w:r>
    </w:p>
    <w:p>
      <w:pPr>
        <w:spacing w:before="0" w:after="0" w:line="240" w:lineRule="auto"/>
        <w:ind w:firstLine="360"/>
        <w:jc w:val="both"/>
      </w:pPr>
      <w:r>
        <w:rPr>
          <w:rFonts w:ascii="Times New Roman" w:hAnsi="Times New Roman"/>
          <w:b w:val="0"/>
          <w:i w:val="0"/>
          <w:sz w:val="20"/>
          <w:u w:val="none"/>
        </w:rPr>
        <w:t>Krauss, Do, and Huck (2017) [4] demonstrated that Gradient Boosting and Deep Neural Networks substantially outperform linear models for S&amp;P 500 return prediction, motivating our use of Gradient Boosting as a diagnostic non-linear benchmark alongside the primary logistic regression model.</w:t>
      </w:r>
    </w:p>
    <w:p>
      <w:pPr>
        <w:spacing w:before="160" w:after="160" w:line="240" w:lineRule="auto"/>
        <w:jc w:val="center"/>
      </w:pPr>
      <w:r>
        <w:rPr>
          <w:rFonts w:ascii="Times New Roman" w:hAnsi="Times New Roman"/>
          <w:b/>
          <w:i w:val="0"/>
          <w:smallCaps/>
          <w:sz w:val="20"/>
          <w:u w:val="none"/>
        </w:rPr>
        <w:t>III. Variables Identification</w:t>
      </w:r>
    </w:p>
    <w:p>
      <w:pPr>
        <w:spacing w:before="120" w:after="120" w:line="240" w:lineRule="auto"/>
        <w:jc w:val="left"/>
      </w:pPr>
      <w:r>
        <w:rPr>
          <w:rFonts w:ascii="Times New Roman" w:hAnsi="Times New Roman"/>
          <w:b w:val="0"/>
          <w:i/>
          <w:sz w:val="20"/>
          <w:u w:val="none"/>
        </w:rPr>
        <w:t>A. Dependent Variable</w:t>
      </w:r>
    </w:p>
    <w:p>
      <w:pPr>
        <w:spacing w:before="0" w:after="0" w:line="240" w:lineRule="auto"/>
        <w:ind w:firstLine="0"/>
        <w:jc w:val="both"/>
      </w:pPr>
      <w:r>
        <w:rPr>
          <w:rFonts w:ascii="Times New Roman" w:hAnsi="Times New Roman"/>
          <w:b w:val="0"/>
          <w:i w:val="0"/>
          <w:sz w:val="20"/>
          <w:u w:val="none"/>
        </w:rPr>
        <w:t>The binary outcome variable, outperformer_next, is defined as 1 if the total return of stock i in quarter t+1 exceeds the S&amp;P 500 index return over the same period, and 0 otherwise. This forward-looking label is constructed by shifting the contemporaneous outperformance indicator back by one period using groupby(gvkey).shift(-1), ensuring that each observation's features belong to quarter t while the label belongs to quarter t+1. No future information is used in any feature calculation.</w:t>
      </w:r>
    </w:p>
    <w:p>
      <w:pPr>
        <w:spacing w:before="120" w:after="120" w:line="240" w:lineRule="auto"/>
        <w:jc w:val="left"/>
      </w:pPr>
      <w:r>
        <w:rPr>
          <w:rFonts w:ascii="Times New Roman" w:hAnsi="Times New Roman"/>
          <w:b w:val="0"/>
          <w:i/>
          <w:sz w:val="20"/>
          <w:u w:val="none"/>
        </w:rPr>
        <w:t>B. Independent Variables</w:t>
      </w:r>
    </w:p>
    <w:p>
      <w:pPr>
        <w:spacing w:before="0" w:after="0" w:line="240" w:lineRule="auto"/>
        <w:ind w:firstLine="0"/>
        <w:jc w:val="both"/>
      </w:pPr>
      <w:r>
        <w:rPr>
          <w:rFonts w:ascii="Times New Roman" w:hAnsi="Times New Roman"/>
          <w:b w:val="0"/>
          <w:i w:val="0"/>
          <w:sz w:val="20"/>
          <w:u w:val="none"/>
        </w:rPr>
        <w:t>Twenty-four features are engineered from raw Compustat fields, FRED macro data, and their quarter-over-quarter differences. These span six economic categories:</w:t>
      </w:r>
    </w:p>
    <w:p>
      <w:pPr>
        <w:pStyle w:val="ListBullet"/>
        <w:spacing w:before="0" w:after="0" w:line="240" w:lineRule="auto"/>
        <w:ind w:firstLine="0" w:left="360"/>
        <w:jc w:val="left"/>
      </w:pPr>
      <w:r>
        <w:rPr>
          <w:rFonts w:ascii="Times New Roman" w:hAnsi="Times New Roman"/>
          <w:b/>
          <w:i w:val="0"/>
          <w:sz w:val="20"/>
          <w:u w:val="none"/>
        </w:rPr>
        <w:t xml:space="preserve">Profitability: </w:t>
      </w:r>
      <w:r>
        <w:rPr>
          <w:rFonts w:ascii="Times New Roman" w:hAnsi="Times New Roman"/>
          <w:b w:val="0"/>
          <w:i w:val="0"/>
          <w:sz w:val="20"/>
          <w:u w:val="none"/>
        </w:rPr>
        <w:t>ROA, ROE, Gross Margin, Operating Margin, Net Margin</w:t>
      </w:r>
    </w:p>
    <w:p>
      <w:pPr>
        <w:pStyle w:val="ListBullet"/>
        <w:spacing w:before="0" w:after="0" w:line="240" w:lineRule="auto"/>
        <w:ind w:firstLine="0" w:left="360"/>
        <w:jc w:val="left"/>
      </w:pPr>
      <w:r>
        <w:rPr>
          <w:rFonts w:ascii="Times New Roman" w:hAnsi="Times New Roman"/>
          <w:b/>
          <w:i w:val="0"/>
          <w:sz w:val="20"/>
          <w:u w:val="none"/>
        </w:rPr>
        <w:t xml:space="preserve">Efficiency: </w:t>
      </w:r>
      <w:r>
        <w:rPr>
          <w:rFonts w:ascii="Times New Roman" w:hAnsi="Times New Roman"/>
          <w:b w:val="0"/>
          <w:i w:val="0"/>
          <w:sz w:val="20"/>
          <w:u w:val="none"/>
        </w:rPr>
        <w:t>Asset Turnover</w:t>
      </w:r>
    </w:p>
    <w:p>
      <w:pPr>
        <w:pStyle w:val="ListBullet"/>
        <w:spacing w:before="0" w:after="0" w:line="240" w:lineRule="auto"/>
        <w:ind w:firstLine="0" w:left="360"/>
        <w:jc w:val="left"/>
      </w:pPr>
      <w:r>
        <w:rPr>
          <w:rFonts w:ascii="Times New Roman" w:hAnsi="Times New Roman"/>
          <w:b/>
          <w:i w:val="0"/>
          <w:sz w:val="20"/>
          <w:u w:val="none"/>
        </w:rPr>
        <w:t xml:space="preserve">Liquidity: </w:t>
      </w:r>
      <w:r>
        <w:rPr>
          <w:rFonts w:ascii="Times New Roman" w:hAnsi="Times New Roman"/>
          <w:b w:val="0"/>
          <w:i w:val="0"/>
          <w:sz w:val="20"/>
          <w:u w:val="none"/>
        </w:rPr>
        <w:t>Current Ratio</w:t>
      </w:r>
    </w:p>
    <w:p>
      <w:pPr>
        <w:pStyle w:val="ListBullet"/>
        <w:spacing w:before="0" w:after="0" w:line="240" w:lineRule="auto"/>
        <w:ind w:firstLine="0" w:left="360"/>
        <w:jc w:val="left"/>
      </w:pPr>
      <w:r>
        <w:rPr>
          <w:rFonts w:ascii="Times New Roman" w:hAnsi="Times New Roman"/>
          <w:b/>
          <w:i w:val="0"/>
          <w:sz w:val="20"/>
          <w:u w:val="none"/>
        </w:rPr>
        <w:t xml:space="preserve">Leverage: </w:t>
      </w:r>
      <w:r>
        <w:rPr>
          <w:rFonts w:ascii="Times New Roman" w:hAnsi="Times New Roman"/>
          <w:b w:val="0"/>
          <w:i w:val="0"/>
          <w:sz w:val="20"/>
          <w:u w:val="none"/>
        </w:rPr>
        <w:t>Debt-to-Equity</w:t>
      </w:r>
    </w:p>
    <w:p>
      <w:pPr>
        <w:pStyle w:val="ListBullet"/>
        <w:spacing w:before="0" w:after="0" w:line="240" w:lineRule="auto"/>
        <w:ind w:firstLine="0" w:left="360"/>
        <w:jc w:val="left"/>
      </w:pPr>
      <w:r>
        <w:rPr>
          <w:rFonts w:ascii="Times New Roman" w:hAnsi="Times New Roman"/>
          <w:b/>
          <w:i w:val="0"/>
          <w:sz w:val="20"/>
          <w:u w:val="none"/>
        </w:rPr>
        <w:t xml:space="preserve">Growth: </w:t>
      </w:r>
      <w:r>
        <w:rPr>
          <w:rFonts w:ascii="Times New Roman" w:hAnsi="Times New Roman"/>
          <w:b w:val="0"/>
          <w:i w:val="0"/>
          <w:sz w:val="20"/>
          <w:u w:val="none"/>
        </w:rPr>
        <w:t>Revenue Growth (QoQ), Net Income Growth (QoQ)</w:t>
      </w:r>
    </w:p>
    <w:p>
      <w:pPr>
        <w:pStyle w:val="ListBullet"/>
        <w:spacing w:before="0" w:after="0" w:line="240" w:lineRule="auto"/>
        <w:ind w:firstLine="0" w:left="360"/>
        <w:jc w:val="left"/>
      </w:pPr>
      <w:r>
        <w:rPr>
          <w:rFonts w:ascii="Times New Roman" w:hAnsi="Times New Roman"/>
          <w:b/>
          <w:i w:val="0"/>
          <w:sz w:val="20"/>
          <w:u w:val="none"/>
        </w:rPr>
        <w:t xml:space="preserve">Valuation: </w:t>
      </w:r>
      <w:r>
        <w:rPr>
          <w:rFonts w:ascii="Times New Roman" w:hAnsi="Times New Roman"/>
          <w:b w:val="0"/>
          <w:i w:val="0"/>
          <w:sz w:val="20"/>
          <w:u w:val="none"/>
        </w:rPr>
        <w:t>P/E Ratio, Book-to-Market</w:t>
      </w:r>
    </w:p>
    <w:p>
      <w:pPr>
        <w:pStyle w:val="ListBullet"/>
        <w:spacing w:before="0" w:after="0" w:line="240" w:lineRule="auto"/>
        <w:ind w:firstLine="0" w:left="360"/>
        <w:jc w:val="left"/>
      </w:pPr>
      <w:r>
        <w:rPr>
          <w:rFonts w:ascii="Times New Roman" w:hAnsi="Times New Roman"/>
          <w:b/>
          <w:i w:val="0"/>
          <w:sz w:val="20"/>
          <w:u w:val="none"/>
        </w:rPr>
        <w:t xml:space="preserve">Macro: </w:t>
      </w:r>
      <w:r>
        <w:rPr>
          <w:rFonts w:ascii="Times New Roman" w:hAnsi="Times New Roman"/>
          <w:b w:val="0"/>
          <w:i w:val="0"/>
          <w:sz w:val="20"/>
          <w:u w:val="none"/>
        </w:rPr>
        <w:t>GDP Growth (FRED), CPI Inflation (FRED)</w:t>
      </w:r>
    </w:p>
    <w:p>
      <w:pPr>
        <w:pStyle w:val="ListBullet"/>
        <w:spacing w:before="0" w:after="0" w:line="240" w:lineRule="auto"/>
        <w:ind w:firstLine="0" w:left="360"/>
        <w:jc w:val="left"/>
      </w:pPr>
      <w:r>
        <w:rPr>
          <w:rFonts w:ascii="Times New Roman" w:hAnsi="Times New Roman"/>
          <w:b/>
          <w:i w:val="0"/>
          <w:sz w:val="20"/>
          <w:u w:val="none"/>
        </w:rPr>
        <w:t xml:space="preserve">Momentum (Δ): </w:t>
      </w:r>
      <w:r>
        <w:rPr>
          <w:rFonts w:ascii="Times New Roman" w:hAnsi="Times New Roman"/>
          <w:b w:val="0"/>
          <w:i w:val="0"/>
          <w:sz w:val="20"/>
          <w:u w:val="none"/>
        </w:rPr>
        <w:t>Quarter-over-quarter change in each of the 10 ratio-based features above</w:t>
      </w:r>
    </w:p>
    <w:p>
      <w:pPr>
        <w:spacing w:before="160" w:after="160" w:line="240" w:lineRule="auto"/>
        <w:jc w:val="center"/>
      </w:pPr>
      <w:r>
        <w:rPr>
          <w:rFonts w:ascii="Times New Roman" w:hAnsi="Times New Roman"/>
          <w:b/>
          <w:i w:val="0"/>
          <w:smallCaps/>
          <w:sz w:val="20"/>
          <w:u w:val="none"/>
        </w:rPr>
        <w:t>IV. Methodology</w:t>
      </w:r>
    </w:p>
    <w:p>
      <w:pPr>
        <w:spacing w:before="120" w:after="120" w:line="240" w:lineRule="auto"/>
        <w:jc w:val="left"/>
      </w:pPr>
      <w:r>
        <w:rPr>
          <w:rFonts w:ascii="Times New Roman" w:hAnsi="Times New Roman"/>
          <w:b w:val="0"/>
          <w:i/>
          <w:sz w:val="20"/>
          <w:u w:val="none"/>
        </w:rPr>
        <w:t>A. Overview</w:t>
      </w:r>
    </w:p>
    <w:p>
      <w:pPr>
        <w:spacing w:before="0" w:after="0" w:line="240" w:lineRule="auto"/>
        <w:ind w:firstLine="0"/>
        <w:jc w:val="both"/>
      </w:pPr>
      <w:r>
        <w:rPr>
          <w:rFonts w:ascii="Times New Roman" w:hAnsi="Times New Roman"/>
          <w:b w:val="0"/>
          <w:i w:val="0"/>
          <w:sz w:val="20"/>
          <w:u w:val="none"/>
        </w:rPr>
        <w:t>The analytical pipeline proceeds through five stages: (1) data collection and ratio computation, (2) preprocessing including winsorization and standardization, (3) multicollinearity reduction via iterative VIF filtering, (4) dimensionality reduction via PCA, and (5) logistic regression estimation across multiple segmentation configurations.</w:t>
      </w:r>
    </w:p>
    <w:p>
      <w:pPr>
        <w:spacing w:before="120" w:after="120" w:line="240" w:lineRule="auto"/>
        <w:jc w:val="left"/>
      </w:pPr>
      <w:r>
        <w:rPr>
          <w:rFonts w:ascii="Times New Roman" w:hAnsi="Times New Roman"/>
          <w:b w:val="0"/>
          <w:i/>
          <w:sz w:val="20"/>
          <w:u w:val="none"/>
        </w:rPr>
        <w:t>B. VIF Filtering</w:t>
      </w:r>
    </w:p>
    <w:p>
      <w:pPr>
        <w:spacing w:before="0" w:after="0" w:line="240" w:lineRule="auto"/>
        <w:ind w:firstLine="0"/>
        <w:jc w:val="both"/>
      </w:pPr>
      <w:r>
        <w:rPr>
          <w:rFonts w:ascii="Times New Roman" w:hAnsi="Times New Roman"/>
          <w:b w:val="0"/>
          <w:i w:val="0"/>
          <w:sz w:val="20"/>
          <w:u w:val="none"/>
        </w:rPr>
        <w:t>Variance Inflation Factor (VIF) quantifies the extent to which a predictor's variance is inflated by its linear relationship with other predictors. For predictor j, VIF_j = 1 / (1 - R_j^2), where R_j^2 is the coefficient of determination from regressing predictor j on all other predictors. Following Ananthakumar and Sarkar (2017), a threshold of 2.5 is applied—stricter than the conventional value of 5.0—using an iterative procedure: at each step, the predictor with the highest VIF above the threshold is removed and VIF values are recomputed until all remaining predictors satisfy VIF_j ≤ 2.5.</w:t>
      </w:r>
    </w:p>
    <w:p>
      <w:pPr>
        <w:spacing w:before="120" w:after="120" w:line="240" w:lineRule="auto"/>
        <w:jc w:val="left"/>
      </w:pPr>
      <w:r>
        <w:rPr>
          <w:rFonts w:ascii="Times New Roman" w:hAnsi="Times New Roman"/>
          <w:b w:val="0"/>
          <w:i/>
          <w:sz w:val="20"/>
          <w:u w:val="none"/>
        </w:rPr>
        <w:t>C. Principal Component Analysis</w:t>
      </w:r>
    </w:p>
    <w:p>
      <w:pPr>
        <w:spacing w:before="0" w:after="0" w:line="240" w:lineRule="auto"/>
        <w:ind w:firstLine="0"/>
        <w:jc w:val="both"/>
      </w:pPr>
      <w:r>
        <w:rPr>
          <w:rFonts w:ascii="Times New Roman" w:hAnsi="Times New Roman"/>
          <w:b w:val="0"/>
          <w:i w:val="0"/>
          <w:sz w:val="20"/>
          <w:u w:val="none"/>
        </w:rPr>
        <w:t>PCA is applied to the VIF-filtered feature set to eliminate residual correlation and reduce dimensionality. Components are retained if their individual explained variance ratio exceeds 5%, defined as: n_comp = max(1, sum(lambda_k / sum(lambda_j) &gt;= 0.05)). This threshold was recommended by the faculty advisor to retain components that individually contribute meaningful variance, rather than the conventional 80% cumulative rule.</w:t>
      </w:r>
    </w:p>
    <w:p>
      <w:pPr>
        <w:spacing w:before="120" w:after="120" w:line="240" w:lineRule="auto"/>
        <w:jc w:val="left"/>
      </w:pPr>
      <w:r>
        <w:rPr>
          <w:rFonts w:ascii="Times New Roman" w:hAnsi="Times New Roman"/>
          <w:b w:val="0"/>
          <w:i/>
          <w:sz w:val="20"/>
          <w:u w:val="none"/>
        </w:rPr>
        <w:t>D. Logistic Regression</w:t>
      </w:r>
    </w:p>
    <w:p>
      <w:pPr>
        <w:spacing w:before="0" w:after="0" w:line="240" w:lineRule="auto"/>
        <w:ind w:firstLine="0"/>
        <w:jc w:val="both"/>
      </w:pPr>
      <w:r>
        <w:rPr>
          <w:rFonts w:ascii="Times New Roman" w:hAnsi="Times New Roman"/>
          <w:b w:val="0"/>
          <w:i w:val="0"/>
          <w:sz w:val="20"/>
          <w:u w:val="none"/>
        </w:rPr>
        <w:t>The probability that company i will outperform the S&amp;P 500 in quarter t+1, given its PCA score vector z_i,t, is modeled as: P(y = 1 | z) = 1 / (1 + exp(-(beta_0 + beta^T z))). Statistical significance of individual components is assessed via Wald z-tests; overall model significance via the Likelihood Ratio Test. Model fit is reported using McFadden's Pseudo-R². The classification threshold tau is optimized over the range [0.30, 0.75] on training data to maximize F1 score.</w:t>
      </w:r>
    </w:p>
    <w:p>
      <w:pPr>
        <w:spacing w:before="120" w:after="120" w:line="240" w:lineRule="auto"/>
        <w:jc w:val="left"/>
      </w:pPr>
      <w:r>
        <w:rPr>
          <w:rFonts w:ascii="Times New Roman" w:hAnsi="Times New Roman"/>
          <w:b w:val="0"/>
          <w:i/>
          <w:sz w:val="20"/>
          <w:u w:val="none"/>
        </w:rPr>
        <w:t>E. Segmentation Configurations</w:t>
      </w:r>
    </w:p>
    <w:p>
      <w:pPr>
        <w:spacing w:before="0" w:after="0" w:line="240" w:lineRule="auto"/>
        <w:ind w:firstLine="0"/>
        <w:jc w:val="both"/>
      </w:pPr>
      <w:r>
        <w:rPr>
          <w:rFonts w:ascii="Times New Roman" w:hAnsi="Times New Roman"/>
          <w:b w:val="0"/>
          <w:i w:val="0"/>
          <w:sz w:val="20"/>
          <w:u w:val="none"/>
        </w:rPr>
        <w:t>Five configurations are evaluated, totaling 45 distinct models: (1) global pooled, (2) market capitalization tier (Large Cap &gt;$10B, Mid Cap $2B-$10B, Small Cap &lt;$2B), (3) GICS sector (11 sectors), (4) GICS sector with K-Means clustering (k=2, applied within each sector on PCA scores), and (5) GICS sector with market capitalization as an additional covariate.</w:t>
      </w:r>
    </w:p>
    <w:p>
      <w:pPr>
        <w:spacing w:before="120" w:after="120" w:line="240" w:lineRule="auto"/>
        <w:jc w:val="left"/>
      </w:pPr>
      <w:r>
        <w:rPr>
          <w:rFonts w:ascii="Times New Roman" w:hAnsi="Times New Roman"/>
          <w:b w:val="0"/>
          <w:i/>
          <w:sz w:val="20"/>
          <w:u w:val="none"/>
        </w:rPr>
        <w:t>F. Gradient Boosting Benchmark</w:t>
      </w:r>
    </w:p>
    <w:p>
      <w:pPr>
        <w:spacing w:before="0" w:after="0" w:line="240" w:lineRule="auto"/>
        <w:ind w:firstLine="0"/>
        <w:jc w:val="both"/>
      </w:pPr>
      <w:r>
        <w:rPr>
          <w:rFonts w:ascii="Times New Roman" w:hAnsi="Times New Roman"/>
          <w:b w:val="0"/>
          <w:i w:val="0"/>
          <w:sz w:val="20"/>
          <w:u w:val="none"/>
        </w:rPr>
        <w:t>A Gradient Boosting Classifier (200 estimators, max depth 3, learning rate 0.1) is trained on the same 9 PCA components as a non-linear diagnostic benchmark. Its AUC relative to logistic regression quantifies the amount of non-linear signal present in the data that logistic regression cannot capture.</w:t>
      </w:r>
    </w:p>
    <w:p>
      <w:pPr>
        <w:spacing w:before="160" w:after="160" w:line="240" w:lineRule="auto"/>
        <w:jc w:val="center"/>
      </w:pPr>
      <w:r>
        <w:rPr>
          <w:rFonts w:ascii="Times New Roman" w:hAnsi="Times New Roman"/>
          <w:b/>
          <w:i w:val="0"/>
          <w:smallCaps/>
          <w:sz w:val="20"/>
          <w:u w:val="none"/>
        </w:rPr>
        <w:t>V. Data Description &amp; Preprocessing</w:t>
      </w:r>
    </w:p>
    <w:p>
      <w:pPr>
        <w:spacing w:before="120" w:after="120" w:line="240" w:lineRule="auto"/>
        <w:jc w:val="left"/>
      </w:pPr>
      <w:r>
        <w:rPr>
          <w:rFonts w:ascii="Times New Roman" w:hAnsi="Times New Roman"/>
          <w:b w:val="0"/>
          <w:i/>
          <w:sz w:val="20"/>
          <w:u w:val="none"/>
        </w:rPr>
        <w:t>A. Data Sources</w:t>
      </w:r>
    </w:p>
    <w:p>
      <w:pPr>
        <w:spacing w:before="0" w:after="0" w:line="240" w:lineRule="auto"/>
        <w:ind w:firstLine="0"/>
        <w:jc w:val="both"/>
      </w:pPr>
      <w:r>
        <w:rPr>
          <w:rFonts w:ascii="Times New Roman" w:hAnsi="Times New Roman"/>
          <w:b w:val="0"/>
          <w:i w:val="0"/>
          <w:sz w:val="20"/>
          <w:u w:val="none"/>
        </w:rPr>
        <w:t>Data are drawn from three primary sources accessed via the Wharton Research Data Service (WRDS): Compustat Fundamentals Quarterly (fundq table) for 21 raw financial statement fields, CRSP for quarterly stock returns and S&amp;P 500 benchmark returns, and the Federal Reserve Economic Data (FRED) API for GDP growth and CPI inflation. S&amp;P 500 constituent membership is tracked through the WRDS index history file to ensure only actual index members are included at each point in time. GICS sector classifications are joined via company identifier (gvkey). The raw Compustat extract covers Q1 2010 through Q4 2024 and contains 30,841 company-quarter observations across approximately 500 constituents.</w:t>
      </w:r>
    </w:p>
    <w:p>
      <w:pPr>
        <w:spacing w:before="120" w:after="120" w:line="240" w:lineRule="auto"/>
        <w:jc w:val="left"/>
      </w:pPr>
      <w:r>
        <w:rPr>
          <w:rFonts w:ascii="Times New Roman" w:hAnsi="Times New Roman"/>
          <w:b w:val="0"/>
          <w:i/>
          <w:sz w:val="20"/>
          <w:u w:val="none"/>
        </w:rPr>
        <w:t>B. Feature Correlation</w:t>
      </w:r>
    </w:p>
    <w:p>
      <w:pPr>
        <w:spacing w:before="0" w:after="0" w:line="240" w:lineRule="auto"/>
        <w:ind w:firstLine="0"/>
        <w:jc w:val="both"/>
      </w:pPr>
      <w:r>
        <w:rPr>
          <w:rFonts w:ascii="Times New Roman" w:hAnsi="Times New Roman"/>
          <w:b w:val="0"/>
          <w:i w:val="0"/>
          <w:sz w:val="20"/>
          <w:u w:val="none"/>
        </w:rPr>
        <w:t>Figure VIII presents the lower-triangle Pearson correlation matrix for the 12 base financial ratios before VIF filtering. Strong correlations (|r| &gt;= 0.50) among the profitability ratios (ROA, ROE, Net Margin, Operating Margin) confirm the need for VIF-based filtering prior to model estimation.</w:t>
      </w:r>
    </w:p>
    <w:p>
      <w:pPr>
        <w:spacing w:before="120" w:after="40" w:line="240" w:lineRule="auto"/>
        <w:jc w:val="center"/>
      </w:pPr>
      <w:r>
        <w:drawing>
          <wp:inline xmlns:a="http://schemas.openxmlformats.org/drawingml/2006/main" xmlns:pic="http://schemas.openxmlformats.org/drawingml/2006/picture">
            <wp:extent cx="2926080" cy="2476550"/>
            <wp:docPr id="1" name="Picture 1"/>
            <wp:cNvGraphicFramePr>
              <a:graphicFrameLocks noChangeAspect="1"/>
            </wp:cNvGraphicFramePr>
            <a:graphic>
              <a:graphicData uri="http://schemas.openxmlformats.org/drawingml/2006/picture">
                <pic:pic>
                  <pic:nvPicPr>
                    <pic:cNvPr id="0" name="08_correlation_heatmap.png"/>
                    <pic:cNvPicPr/>
                  </pic:nvPicPr>
                  <pic:blipFill>
                    <a:blip r:embed="rId9"/>
                    <a:stretch>
                      <a:fillRect/>
                    </a:stretch>
                  </pic:blipFill>
                  <pic:spPr>
                    <a:xfrm>
                      <a:off x="0" y="0"/>
                      <a:ext cx="2926080" cy="2476550"/>
                    </a:xfrm>
                    <a:prstGeom prst="rect"/>
                  </pic:spPr>
                </pic:pic>
              </a:graphicData>
            </a:graphic>
          </wp:inline>
        </w:drawing>
      </w:r>
    </w:p>
    <w:p>
      <w:pPr>
        <w:spacing w:before="40" w:after="20" w:line="240" w:lineRule="auto"/>
        <w:jc w:val="center"/>
      </w:pPr>
      <w:r>
        <w:rPr>
          <w:rFonts w:ascii="Times New Roman" w:hAnsi="Times New Roman"/>
          <w:b w:val="0"/>
          <w:i w:val="0"/>
          <w:caps/>
          <w:sz w:val="20"/>
          <w:u w:val="none"/>
        </w:rPr>
        <w:t>FIGURE VIII</w:t>
      </w:r>
    </w:p>
    <w:p>
      <w:pPr>
        <w:spacing w:before="20" w:after="120" w:line="240" w:lineRule="auto"/>
        <w:jc w:val="center"/>
      </w:pPr>
      <w:r>
        <w:rPr>
          <w:rFonts w:ascii="Times New Roman" w:hAnsi="Times New Roman"/>
          <w:b w:val="0"/>
          <w:i w:val="0"/>
          <w:smallCaps/>
          <w:sz w:val="16"/>
          <w:u w:val="none"/>
        </w:rPr>
        <w:t>Pearson Correlation Matrix of 12 Base Financial Ratios Before VIF Filtering</w:t>
      </w:r>
    </w:p>
    <w:p>
      <w:pPr>
        <w:spacing w:before="120" w:after="120" w:line="240" w:lineRule="auto"/>
        <w:jc w:val="left"/>
      </w:pPr>
      <w:r>
        <w:rPr>
          <w:rFonts w:ascii="Times New Roman" w:hAnsi="Times New Roman"/>
          <w:b w:val="0"/>
          <w:i/>
          <w:sz w:val="20"/>
          <w:u w:val="none"/>
        </w:rPr>
        <w:t>C. Preprocessing Pipeline</w:t>
      </w:r>
    </w:p>
    <w:p>
      <w:pPr>
        <w:spacing w:before="0" w:after="0" w:line="240" w:lineRule="auto"/>
        <w:ind w:firstLine="0"/>
        <w:jc w:val="both"/>
      </w:pPr>
      <w:r>
        <w:rPr>
          <w:rFonts w:ascii="Times New Roman" w:hAnsi="Times New Roman"/>
          <w:b w:val="0"/>
          <w:i w:val="0"/>
          <w:sz w:val="20"/>
          <w:u w:val="none"/>
        </w:rPr>
        <w:t>Three preprocessing steps are applied in sequence to the 21,285 initial company-quarter observations. First, winsorization clips each ratio at its 1st and 99th percentile values, computed on training data only and applied identically to all test observations to prevent data leakage. Second, standardization transforms each ratio to zero mean and unit standard deviation using training-set statistics, ensuring no predictor dominates due to scale differences. Third, rows containing any missing value after ratio computation are removed; the primary sources of missingness are zero-revenue observations and the first quarter of each company's history (no lag available for delta features). The cleaned training dataset contains 16,589 complete observations.</w:t>
      </w:r>
    </w:p>
    <w:p>
      <w:pPr>
        <w:spacing w:before="160" w:after="160" w:line="240" w:lineRule="auto"/>
        <w:jc w:val="center"/>
      </w:pPr>
      <w:r>
        <w:rPr>
          <w:rFonts w:ascii="Times New Roman" w:hAnsi="Times New Roman"/>
          <w:b/>
          <w:i w:val="0"/>
          <w:smallCaps/>
          <w:sz w:val="20"/>
          <w:u w:val="none"/>
        </w:rPr>
        <w:t>VI. Analysis &amp; Implementation</w:t>
      </w:r>
    </w:p>
    <w:p>
      <w:pPr>
        <w:spacing w:before="120" w:after="120" w:line="240" w:lineRule="auto"/>
        <w:jc w:val="left"/>
      </w:pPr>
      <w:r>
        <w:rPr>
          <w:rFonts w:ascii="Times New Roman" w:hAnsi="Times New Roman"/>
          <w:b w:val="0"/>
          <w:i/>
          <w:sz w:val="20"/>
          <w:u w:val="none"/>
        </w:rPr>
        <w:t>A. VIF Analysis Results</w:t>
      </w:r>
    </w:p>
    <w:p>
      <w:pPr>
        <w:spacing w:before="0" w:after="0" w:line="240" w:lineRule="auto"/>
        <w:ind w:firstLine="0"/>
        <w:jc w:val="both"/>
      </w:pPr>
      <w:r>
        <w:rPr>
          <w:rFonts w:ascii="Times New Roman" w:hAnsi="Times New Roman"/>
          <w:b w:val="0"/>
          <w:i w:val="0"/>
          <w:sz w:val="20"/>
          <w:u w:val="none"/>
        </w:rPr>
        <w:t>Iterative VIF filtering at threshold 2.5 removes four of the 24 candidate features: Return on Assets (initial VIF 4.52), Net Profit Margin (5.86), Delta ROA (5.11), and Delta Operating Margin (3.68). These variables exhibit high collinearity with the retained profitability and efficiency features. The remaining 20 features all satisfy VIF_j &lt;= 2.5. Figure III displays all 24 initial VIF values, with retained features in green and removed features in red. Table I summarizes the key results.</w:t>
      </w:r>
    </w:p>
    <w:p>
      <w:pPr>
        <w:spacing w:before="120" w:after="40" w:line="240" w:lineRule="auto"/>
        <w:jc w:val="center"/>
      </w:pPr>
      <w:r>
        <w:drawing>
          <wp:inline xmlns:a="http://schemas.openxmlformats.org/drawingml/2006/main" xmlns:pic="http://schemas.openxmlformats.org/drawingml/2006/picture">
            <wp:extent cx="2926080" cy="2654728"/>
            <wp:docPr id="2" name="Picture 2"/>
            <wp:cNvGraphicFramePr>
              <a:graphicFrameLocks noChangeAspect="1"/>
            </wp:cNvGraphicFramePr>
            <a:graphic>
              <a:graphicData uri="http://schemas.openxmlformats.org/drawingml/2006/picture">
                <pic:pic>
                  <pic:nvPicPr>
                    <pic:cNvPr id="0" name="03_vif_chart.png"/>
                    <pic:cNvPicPr/>
                  </pic:nvPicPr>
                  <pic:blipFill>
                    <a:blip r:embed="rId10"/>
                    <a:stretch>
                      <a:fillRect/>
                    </a:stretch>
                  </pic:blipFill>
                  <pic:spPr>
                    <a:xfrm>
                      <a:off x="0" y="0"/>
                      <a:ext cx="2926080" cy="2654728"/>
                    </a:xfrm>
                    <a:prstGeom prst="rect"/>
                  </pic:spPr>
                </pic:pic>
              </a:graphicData>
            </a:graphic>
          </wp:inline>
        </w:drawing>
      </w:r>
    </w:p>
    <w:p>
      <w:pPr>
        <w:spacing w:before="40" w:after="20" w:line="240" w:lineRule="auto"/>
        <w:jc w:val="center"/>
      </w:pPr>
      <w:r>
        <w:rPr>
          <w:rFonts w:ascii="Times New Roman" w:hAnsi="Times New Roman"/>
          <w:b w:val="0"/>
          <w:i w:val="0"/>
          <w:caps/>
          <w:sz w:val="20"/>
          <w:u w:val="none"/>
        </w:rPr>
        <w:t>FIGURE III</w:t>
      </w:r>
    </w:p>
    <w:p>
      <w:pPr>
        <w:spacing w:before="20" w:after="120" w:line="240" w:lineRule="auto"/>
        <w:jc w:val="center"/>
      </w:pPr>
      <w:r>
        <w:rPr>
          <w:rFonts w:ascii="Times New Roman" w:hAnsi="Times New Roman"/>
          <w:b w:val="0"/>
          <w:i w:val="0"/>
          <w:smallCaps/>
          <w:sz w:val="16"/>
          <w:u w:val="none"/>
        </w:rPr>
        <w:t>Initial VIF Values for All 24 Candidate Features. Red Bars Indicate Removed Features (VIF &gt; 2.5); Green Bars Indicate Retained Features.</w:t>
      </w:r>
    </w:p>
    <w:p>
      <w:pPr>
        <w:spacing w:before="120" w:after="20" w:line="240" w:lineRule="auto"/>
        <w:jc w:val="center"/>
      </w:pPr>
      <w:r>
        <w:rPr>
          <w:rFonts w:ascii="Times New Roman" w:hAnsi="Times New Roman"/>
          <w:b w:val="0"/>
          <w:i w:val="0"/>
          <w:caps/>
          <w:sz w:val="20"/>
          <w:u w:val="none"/>
        </w:rPr>
        <w:t>TABLE I</w:t>
      </w:r>
    </w:p>
    <w:p>
      <w:pPr>
        <w:spacing w:before="20" w:after="60" w:line="240" w:lineRule="auto"/>
        <w:jc w:val="center"/>
      </w:pPr>
      <w:r>
        <w:rPr>
          <w:rFonts w:ascii="Times New Roman" w:hAnsi="Times New Roman"/>
          <w:b w:val="0"/>
          <w:i w:val="0"/>
          <w:smallCaps/>
          <w:sz w:val="16"/>
          <w:u w:val="none"/>
        </w:rPr>
        <w:t>VIF Analysis Summary (Selected Features)</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tcPr>
          <w:p>
            <w:pPr>
              <w:spacing w:before="20" w:after="20" w:line="240" w:lineRule="auto"/>
              <w:jc w:val="center"/>
            </w:pPr>
            <w:r/>
            <w:r>
              <w:rPr>
                <w:rFonts w:ascii="Times New Roman" w:hAnsi="Times New Roman"/>
                <w:b/>
                <w:i w:val="0"/>
                <w:sz w:val="16"/>
                <w:u w:val="none"/>
              </w:rPr>
              <w:t>Feature</w:t>
            </w:r>
          </w:p>
        </w:tc>
        <w:tc>
          <w:tcPr>
            <w:tcW w:type="dxa" w:w="1296"/>
            <w:vAlign w:val="center"/>
          </w:tcPr>
          <w:p>
            <w:pPr>
              <w:spacing w:before="20" w:after="20" w:line="240" w:lineRule="auto"/>
              <w:jc w:val="center"/>
            </w:pPr>
            <w:r/>
            <w:r>
              <w:rPr>
                <w:rFonts w:ascii="Times New Roman" w:hAnsi="Times New Roman"/>
                <w:b/>
                <w:i w:val="0"/>
                <w:sz w:val="16"/>
                <w:u w:val="none"/>
              </w:rPr>
              <w:t>Initial VIF</w:t>
            </w:r>
          </w:p>
        </w:tc>
        <w:tc>
          <w:tcPr>
            <w:tcW w:type="dxa" w:w="1152"/>
            <w:vAlign w:val="center"/>
          </w:tcPr>
          <w:p>
            <w:pPr>
              <w:spacing w:before="20" w:after="20" w:line="240" w:lineRule="auto"/>
              <w:jc w:val="center"/>
            </w:pPr>
            <w:r/>
            <w:r>
              <w:rPr>
                <w:rFonts w:ascii="Times New Roman" w:hAnsi="Times New Roman"/>
                <w:b/>
                <w:i w:val="0"/>
                <w:sz w:val="16"/>
                <w:u w:val="none"/>
              </w:rPr>
              <w:t>Decision</w:t>
            </w:r>
          </w:p>
        </w:tc>
      </w:tr>
      <w:tr>
        <w:tc>
          <w:tcPr>
            <w:tcW w:type="dxa" w:w="2160"/>
            <w:vAlign w:val="center"/>
          </w:tcPr>
          <w:p>
            <w:pPr>
              <w:spacing w:before="20" w:after="20" w:line="240" w:lineRule="auto"/>
              <w:jc w:val="center"/>
            </w:pPr>
            <w:r/>
            <w:r>
              <w:rPr>
                <w:rFonts w:ascii="Times New Roman" w:hAnsi="Times New Roman"/>
                <w:b w:val="0"/>
                <w:i w:val="0"/>
                <w:sz w:val="16"/>
                <w:u w:val="none"/>
              </w:rPr>
              <w:t>Net Profit Margin</w:t>
            </w:r>
          </w:p>
        </w:tc>
        <w:tc>
          <w:tcPr>
            <w:tcW w:type="dxa" w:w="1296"/>
            <w:vAlign w:val="center"/>
          </w:tcPr>
          <w:p>
            <w:pPr>
              <w:spacing w:before="20" w:after="20" w:line="240" w:lineRule="auto"/>
              <w:jc w:val="center"/>
            </w:pPr>
            <w:r/>
            <w:r>
              <w:rPr>
                <w:rFonts w:ascii="Times New Roman" w:hAnsi="Times New Roman"/>
                <w:b w:val="0"/>
                <w:i w:val="0"/>
                <w:sz w:val="16"/>
                <w:u w:val="none"/>
              </w:rPr>
              <w:t>5.86</w:t>
            </w:r>
          </w:p>
        </w:tc>
        <w:tc>
          <w:tcPr>
            <w:tcW w:type="dxa" w:w="1152"/>
            <w:vAlign w:val="center"/>
          </w:tcPr>
          <w:p>
            <w:pPr>
              <w:spacing w:before="20" w:after="20" w:line="240" w:lineRule="auto"/>
              <w:jc w:val="center"/>
            </w:pPr>
            <w:r/>
            <w:r>
              <w:rPr>
                <w:rFonts w:ascii="Times New Roman" w:hAnsi="Times New Roman"/>
                <w:b w:val="0"/>
                <w:i w:val="0"/>
                <w:sz w:val="16"/>
                <w:u w:val="none"/>
              </w:rPr>
              <w:t>Removed</w:t>
            </w:r>
          </w:p>
        </w:tc>
      </w:tr>
      <w:tr>
        <w:tc>
          <w:tcPr>
            <w:tcW w:type="dxa" w:w="2160"/>
            <w:vAlign w:val="center"/>
          </w:tcPr>
          <w:p>
            <w:pPr>
              <w:spacing w:before="20" w:after="20" w:line="240" w:lineRule="auto"/>
              <w:jc w:val="center"/>
            </w:pPr>
            <w:r/>
            <w:r>
              <w:rPr>
                <w:rFonts w:ascii="Times New Roman" w:hAnsi="Times New Roman"/>
                <w:b w:val="0"/>
                <w:i w:val="0"/>
                <w:sz w:val="16"/>
                <w:u w:val="none"/>
              </w:rPr>
              <w:t>ΔROA (QoQ)</w:t>
            </w:r>
          </w:p>
        </w:tc>
        <w:tc>
          <w:tcPr>
            <w:tcW w:type="dxa" w:w="1296"/>
            <w:vAlign w:val="center"/>
          </w:tcPr>
          <w:p>
            <w:pPr>
              <w:spacing w:before="20" w:after="20" w:line="240" w:lineRule="auto"/>
              <w:jc w:val="center"/>
            </w:pPr>
            <w:r/>
            <w:r>
              <w:rPr>
                <w:rFonts w:ascii="Times New Roman" w:hAnsi="Times New Roman"/>
                <w:b w:val="0"/>
                <w:i w:val="0"/>
                <w:sz w:val="16"/>
                <w:u w:val="none"/>
              </w:rPr>
              <w:t>5.11</w:t>
            </w:r>
          </w:p>
        </w:tc>
        <w:tc>
          <w:tcPr>
            <w:tcW w:type="dxa" w:w="1152"/>
            <w:vAlign w:val="center"/>
          </w:tcPr>
          <w:p>
            <w:pPr>
              <w:spacing w:before="20" w:after="20" w:line="240" w:lineRule="auto"/>
              <w:jc w:val="center"/>
            </w:pPr>
            <w:r/>
            <w:r>
              <w:rPr>
                <w:rFonts w:ascii="Times New Roman" w:hAnsi="Times New Roman"/>
                <w:b w:val="0"/>
                <w:i w:val="0"/>
                <w:sz w:val="16"/>
                <w:u w:val="none"/>
              </w:rPr>
              <w:t>Removed</w:t>
            </w:r>
          </w:p>
        </w:tc>
      </w:tr>
      <w:tr>
        <w:tc>
          <w:tcPr>
            <w:tcW w:type="dxa" w:w="2160"/>
            <w:vAlign w:val="center"/>
          </w:tcPr>
          <w:p>
            <w:pPr>
              <w:spacing w:before="20" w:after="20" w:line="240" w:lineRule="auto"/>
              <w:jc w:val="center"/>
            </w:pPr>
            <w:r/>
            <w:r>
              <w:rPr>
                <w:rFonts w:ascii="Times New Roman" w:hAnsi="Times New Roman"/>
                <w:b w:val="0"/>
                <w:i w:val="0"/>
                <w:sz w:val="16"/>
                <w:u w:val="none"/>
              </w:rPr>
              <w:t>ROA</w:t>
            </w:r>
          </w:p>
        </w:tc>
        <w:tc>
          <w:tcPr>
            <w:tcW w:type="dxa" w:w="1296"/>
            <w:vAlign w:val="center"/>
          </w:tcPr>
          <w:p>
            <w:pPr>
              <w:spacing w:before="20" w:after="20" w:line="240" w:lineRule="auto"/>
              <w:jc w:val="center"/>
            </w:pPr>
            <w:r/>
            <w:r>
              <w:rPr>
                <w:rFonts w:ascii="Times New Roman" w:hAnsi="Times New Roman"/>
                <w:b w:val="0"/>
                <w:i w:val="0"/>
                <w:sz w:val="16"/>
                <w:u w:val="none"/>
              </w:rPr>
              <w:t>4.52</w:t>
            </w:r>
          </w:p>
        </w:tc>
        <w:tc>
          <w:tcPr>
            <w:tcW w:type="dxa" w:w="1152"/>
            <w:vAlign w:val="center"/>
          </w:tcPr>
          <w:p>
            <w:pPr>
              <w:spacing w:before="20" w:after="20" w:line="240" w:lineRule="auto"/>
              <w:jc w:val="center"/>
            </w:pPr>
            <w:r/>
            <w:r>
              <w:rPr>
                <w:rFonts w:ascii="Times New Roman" w:hAnsi="Times New Roman"/>
                <w:b w:val="0"/>
                <w:i w:val="0"/>
                <w:sz w:val="16"/>
                <w:u w:val="none"/>
              </w:rPr>
              <w:t>Removed</w:t>
            </w:r>
          </w:p>
        </w:tc>
      </w:tr>
      <w:tr>
        <w:tc>
          <w:tcPr>
            <w:tcW w:type="dxa" w:w="2160"/>
            <w:vAlign w:val="center"/>
          </w:tcPr>
          <w:p>
            <w:pPr>
              <w:spacing w:before="20" w:after="20" w:line="240" w:lineRule="auto"/>
              <w:jc w:val="center"/>
            </w:pPr>
            <w:r/>
            <w:r>
              <w:rPr>
                <w:rFonts w:ascii="Times New Roman" w:hAnsi="Times New Roman"/>
                <w:b w:val="0"/>
                <w:i w:val="0"/>
                <w:sz w:val="16"/>
                <w:u w:val="none"/>
              </w:rPr>
              <w:t>ΔNet Margin</w:t>
            </w:r>
          </w:p>
        </w:tc>
        <w:tc>
          <w:tcPr>
            <w:tcW w:type="dxa" w:w="1296"/>
            <w:vAlign w:val="center"/>
          </w:tcPr>
          <w:p>
            <w:pPr>
              <w:spacing w:before="20" w:after="20" w:line="240" w:lineRule="auto"/>
              <w:jc w:val="center"/>
            </w:pPr>
            <w:r/>
            <w:r>
              <w:rPr>
                <w:rFonts w:ascii="Times New Roman" w:hAnsi="Times New Roman"/>
                <w:b w:val="0"/>
                <w:i w:val="0"/>
                <w:sz w:val="16"/>
                <w:u w:val="none"/>
              </w:rPr>
              <w:t>4.78</w:t>
            </w:r>
          </w:p>
        </w:tc>
        <w:tc>
          <w:tcPr>
            <w:tcW w:type="dxa" w:w="1152"/>
            <w:vAlign w:val="center"/>
          </w:tcPr>
          <w:p>
            <w:pPr>
              <w:spacing w:before="20" w:after="20" w:line="240" w:lineRule="auto"/>
              <w:jc w:val="center"/>
            </w:pPr>
            <w:r/>
            <w:r>
              <w:rPr>
                <w:rFonts w:ascii="Times New Roman" w:hAnsi="Times New Roman"/>
                <w:b w:val="0"/>
                <w:i w:val="0"/>
                <w:sz w:val="16"/>
                <w:u w:val="none"/>
              </w:rPr>
              <w:t>Removed</w:t>
            </w:r>
          </w:p>
        </w:tc>
      </w:tr>
      <w:tr>
        <w:tc>
          <w:tcPr>
            <w:tcW w:type="dxa" w:w="2160"/>
            <w:vAlign w:val="center"/>
          </w:tcPr>
          <w:p>
            <w:pPr>
              <w:spacing w:before="20" w:after="20" w:line="240" w:lineRule="auto"/>
              <w:jc w:val="center"/>
            </w:pPr>
            <w:r/>
            <w:r>
              <w:rPr>
                <w:rFonts w:ascii="Times New Roman" w:hAnsi="Times New Roman"/>
                <w:b w:val="0"/>
                <w:i w:val="0"/>
                <w:sz w:val="16"/>
                <w:u w:val="none"/>
              </w:rPr>
              <w:t>ΔOp. Margin</w:t>
            </w:r>
          </w:p>
        </w:tc>
        <w:tc>
          <w:tcPr>
            <w:tcW w:type="dxa" w:w="1296"/>
            <w:vAlign w:val="center"/>
          </w:tcPr>
          <w:p>
            <w:pPr>
              <w:spacing w:before="20" w:after="20" w:line="240" w:lineRule="auto"/>
              <w:jc w:val="center"/>
            </w:pPr>
            <w:r/>
            <w:r>
              <w:rPr>
                <w:rFonts w:ascii="Times New Roman" w:hAnsi="Times New Roman"/>
                <w:b w:val="0"/>
                <w:i w:val="0"/>
                <w:sz w:val="16"/>
                <w:u w:val="none"/>
              </w:rPr>
              <w:t>3.68</w:t>
            </w:r>
          </w:p>
        </w:tc>
        <w:tc>
          <w:tcPr>
            <w:tcW w:type="dxa" w:w="1152"/>
            <w:vAlign w:val="center"/>
          </w:tcPr>
          <w:p>
            <w:pPr>
              <w:spacing w:before="20" w:after="20" w:line="240" w:lineRule="auto"/>
              <w:jc w:val="center"/>
            </w:pPr>
            <w:r/>
            <w:r>
              <w:rPr>
                <w:rFonts w:ascii="Times New Roman" w:hAnsi="Times New Roman"/>
                <w:b w:val="0"/>
                <w:i w:val="0"/>
                <w:sz w:val="16"/>
                <w:u w:val="none"/>
              </w:rPr>
              <w:t>Removed</w:t>
            </w:r>
          </w:p>
        </w:tc>
      </w:tr>
      <w:tr>
        <w:tc>
          <w:tcPr>
            <w:tcW w:type="dxa" w:w="2160"/>
            <w:vAlign w:val="center"/>
          </w:tcPr>
          <w:p>
            <w:pPr>
              <w:spacing w:before="20" w:after="20" w:line="240" w:lineRule="auto"/>
              <w:jc w:val="center"/>
            </w:pPr>
            <w:r/>
            <w:r>
              <w:rPr>
                <w:rFonts w:ascii="Times New Roman" w:hAnsi="Times New Roman"/>
                <w:b w:val="0"/>
                <w:i w:val="0"/>
                <w:sz w:val="16"/>
                <w:u w:val="none"/>
              </w:rPr>
              <w:t>ROE</w:t>
            </w:r>
          </w:p>
        </w:tc>
        <w:tc>
          <w:tcPr>
            <w:tcW w:type="dxa" w:w="1296"/>
            <w:vAlign w:val="center"/>
          </w:tcPr>
          <w:p>
            <w:pPr>
              <w:spacing w:before="20" w:after="20" w:line="240" w:lineRule="auto"/>
              <w:jc w:val="center"/>
            </w:pPr>
            <w:r/>
            <w:r>
              <w:rPr>
                <w:rFonts w:ascii="Times New Roman" w:hAnsi="Times New Roman"/>
                <w:b w:val="0"/>
                <w:i w:val="0"/>
                <w:sz w:val="16"/>
                <w:u w:val="none"/>
              </w:rPr>
              <w:t>2.59</w:t>
            </w:r>
          </w:p>
        </w:tc>
        <w:tc>
          <w:tcPr>
            <w:tcW w:type="dxa" w:w="1152"/>
            <w:vAlign w:val="center"/>
          </w:tcPr>
          <w:p>
            <w:pPr>
              <w:spacing w:before="20" w:after="20" w:line="240" w:lineRule="auto"/>
              <w:jc w:val="center"/>
            </w:pPr>
            <w:r/>
            <w:r>
              <w:rPr>
                <w:rFonts w:ascii="Times New Roman" w:hAnsi="Times New Roman"/>
                <w:b w:val="0"/>
                <w:i w:val="0"/>
                <w:sz w:val="16"/>
                <w:u w:val="none"/>
              </w:rPr>
              <w:t>Retained</w:t>
            </w:r>
          </w:p>
        </w:tc>
      </w:tr>
      <w:tr>
        <w:tc>
          <w:tcPr>
            <w:tcW w:type="dxa" w:w="2160"/>
            <w:vAlign w:val="center"/>
          </w:tcPr>
          <w:p>
            <w:pPr>
              <w:spacing w:before="20" w:after="20" w:line="240" w:lineRule="auto"/>
              <w:jc w:val="center"/>
            </w:pPr>
            <w:r/>
            <w:r>
              <w:rPr>
                <w:rFonts w:ascii="Times New Roman" w:hAnsi="Times New Roman"/>
                <w:b w:val="0"/>
                <w:i w:val="0"/>
                <w:sz w:val="16"/>
                <w:u w:val="none"/>
              </w:rPr>
              <w:t>ΔGross Margin</w:t>
            </w:r>
          </w:p>
        </w:tc>
        <w:tc>
          <w:tcPr>
            <w:tcW w:type="dxa" w:w="1296"/>
            <w:vAlign w:val="center"/>
          </w:tcPr>
          <w:p>
            <w:pPr>
              <w:spacing w:before="20" w:after="20" w:line="240" w:lineRule="auto"/>
              <w:jc w:val="center"/>
            </w:pPr>
            <w:r/>
            <w:r>
              <w:rPr>
                <w:rFonts w:ascii="Times New Roman" w:hAnsi="Times New Roman"/>
                <w:b w:val="0"/>
                <w:i w:val="0"/>
                <w:sz w:val="16"/>
                <w:u w:val="none"/>
              </w:rPr>
              <w:t>2.62</w:t>
            </w:r>
          </w:p>
        </w:tc>
        <w:tc>
          <w:tcPr>
            <w:tcW w:type="dxa" w:w="1152"/>
            <w:vAlign w:val="center"/>
          </w:tcPr>
          <w:p>
            <w:pPr>
              <w:spacing w:before="20" w:after="20" w:line="240" w:lineRule="auto"/>
              <w:jc w:val="center"/>
            </w:pPr>
            <w:r/>
            <w:r>
              <w:rPr>
                <w:rFonts w:ascii="Times New Roman" w:hAnsi="Times New Roman"/>
                <w:b w:val="0"/>
                <w:i w:val="0"/>
                <w:sz w:val="16"/>
                <w:u w:val="none"/>
              </w:rPr>
              <w:t>Retained</w:t>
            </w:r>
          </w:p>
        </w:tc>
      </w:tr>
      <w:tr>
        <w:tc>
          <w:tcPr>
            <w:tcW w:type="dxa" w:w="2160"/>
            <w:vAlign w:val="center"/>
          </w:tcPr>
          <w:p>
            <w:pPr>
              <w:spacing w:before="20" w:after="20" w:line="240" w:lineRule="auto"/>
              <w:jc w:val="center"/>
            </w:pPr>
            <w:r/>
            <w:r>
              <w:rPr>
                <w:rFonts w:ascii="Times New Roman" w:hAnsi="Times New Roman"/>
                <w:b w:val="0"/>
                <w:i w:val="0"/>
                <w:sz w:val="16"/>
                <w:u w:val="none"/>
              </w:rPr>
              <w:t>Revenue Growth</w:t>
            </w:r>
          </w:p>
        </w:tc>
        <w:tc>
          <w:tcPr>
            <w:tcW w:type="dxa" w:w="1296"/>
            <w:vAlign w:val="center"/>
          </w:tcPr>
          <w:p>
            <w:pPr>
              <w:spacing w:before="20" w:after="20" w:line="240" w:lineRule="auto"/>
              <w:jc w:val="center"/>
            </w:pPr>
            <w:r/>
            <w:r>
              <w:rPr>
                <w:rFonts w:ascii="Times New Roman" w:hAnsi="Times New Roman"/>
                <w:b w:val="0"/>
                <w:i w:val="0"/>
                <w:sz w:val="16"/>
                <w:u w:val="none"/>
              </w:rPr>
              <w:t>2.49</w:t>
            </w:r>
          </w:p>
        </w:tc>
        <w:tc>
          <w:tcPr>
            <w:tcW w:type="dxa" w:w="1152"/>
            <w:vAlign w:val="center"/>
          </w:tcPr>
          <w:p>
            <w:pPr>
              <w:spacing w:before="20" w:after="20" w:line="240" w:lineRule="auto"/>
              <w:jc w:val="center"/>
            </w:pPr>
            <w:r/>
            <w:r>
              <w:rPr>
                <w:rFonts w:ascii="Times New Roman" w:hAnsi="Times New Roman"/>
                <w:b w:val="0"/>
                <w:i w:val="0"/>
                <w:sz w:val="16"/>
                <w:u w:val="none"/>
              </w:rPr>
              <w:t>Retained</w:t>
            </w:r>
          </w:p>
        </w:tc>
      </w:tr>
      <w:tr>
        <w:tc>
          <w:tcPr>
            <w:tcW w:type="dxa" w:w="2160"/>
            <w:vAlign w:val="center"/>
          </w:tcPr>
          <w:p>
            <w:pPr>
              <w:spacing w:before="20" w:after="20" w:line="240" w:lineRule="auto"/>
              <w:jc w:val="center"/>
            </w:pPr>
            <w:r/>
            <w:r>
              <w:rPr>
                <w:rFonts w:ascii="Times New Roman" w:hAnsi="Times New Roman"/>
                <w:b w:val="0"/>
                <w:i w:val="0"/>
                <w:sz w:val="16"/>
                <w:u w:val="none"/>
              </w:rPr>
              <w:t>Debt-to-Equity</w:t>
            </w:r>
          </w:p>
        </w:tc>
        <w:tc>
          <w:tcPr>
            <w:tcW w:type="dxa" w:w="1296"/>
            <w:vAlign w:val="center"/>
          </w:tcPr>
          <w:p>
            <w:pPr>
              <w:spacing w:before="20" w:after="20" w:line="240" w:lineRule="auto"/>
              <w:jc w:val="center"/>
            </w:pPr>
            <w:r/>
            <w:r>
              <w:rPr>
                <w:rFonts w:ascii="Times New Roman" w:hAnsi="Times New Roman"/>
                <w:b w:val="0"/>
                <w:i w:val="0"/>
                <w:sz w:val="16"/>
                <w:u w:val="none"/>
              </w:rPr>
              <w:t>2.25</w:t>
            </w:r>
          </w:p>
        </w:tc>
        <w:tc>
          <w:tcPr>
            <w:tcW w:type="dxa" w:w="1152"/>
            <w:vAlign w:val="center"/>
          </w:tcPr>
          <w:p>
            <w:pPr>
              <w:spacing w:before="20" w:after="20" w:line="240" w:lineRule="auto"/>
              <w:jc w:val="center"/>
            </w:pPr>
            <w:r/>
            <w:r>
              <w:rPr>
                <w:rFonts w:ascii="Times New Roman" w:hAnsi="Times New Roman"/>
                <w:b w:val="0"/>
                <w:i w:val="0"/>
                <w:sz w:val="16"/>
                <w:u w:val="none"/>
              </w:rPr>
              <w:t>Retained</w:t>
            </w:r>
          </w:p>
        </w:tc>
      </w:tr>
      <w:tr>
        <w:tc>
          <w:tcPr>
            <w:tcW w:type="dxa" w:w="2160"/>
            <w:vAlign w:val="center"/>
          </w:tcPr>
          <w:p>
            <w:pPr>
              <w:spacing w:before="20" w:after="20" w:line="240" w:lineRule="auto"/>
              <w:jc w:val="center"/>
            </w:pPr>
            <w:r/>
            <w:r>
              <w:rPr>
                <w:rFonts w:ascii="Times New Roman" w:hAnsi="Times New Roman"/>
                <w:b w:val="0"/>
                <w:i w:val="0"/>
                <w:sz w:val="16"/>
                <w:u w:val="none"/>
              </w:rPr>
              <w:t>Operating Margin</w:t>
            </w:r>
          </w:p>
        </w:tc>
        <w:tc>
          <w:tcPr>
            <w:tcW w:type="dxa" w:w="1296"/>
            <w:vAlign w:val="center"/>
          </w:tcPr>
          <w:p>
            <w:pPr>
              <w:spacing w:before="20" w:after="20" w:line="240" w:lineRule="auto"/>
              <w:jc w:val="center"/>
            </w:pPr>
            <w:r/>
            <w:r>
              <w:rPr>
                <w:rFonts w:ascii="Times New Roman" w:hAnsi="Times New Roman"/>
                <w:b w:val="0"/>
                <w:i w:val="0"/>
                <w:sz w:val="16"/>
                <w:u w:val="none"/>
              </w:rPr>
              <w:t>1.80</w:t>
            </w:r>
          </w:p>
        </w:tc>
        <w:tc>
          <w:tcPr>
            <w:tcW w:type="dxa" w:w="1152"/>
            <w:vAlign w:val="center"/>
          </w:tcPr>
          <w:p>
            <w:pPr>
              <w:spacing w:before="20" w:after="20" w:line="240" w:lineRule="auto"/>
              <w:jc w:val="center"/>
            </w:pPr>
            <w:r/>
            <w:r>
              <w:rPr>
                <w:rFonts w:ascii="Times New Roman" w:hAnsi="Times New Roman"/>
                <w:b w:val="0"/>
                <w:i w:val="0"/>
                <w:sz w:val="16"/>
                <w:u w:val="none"/>
              </w:rPr>
              <w:t>Retained</w:t>
            </w:r>
          </w:p>
        </w:tc>
      </w:tr>
    </w:tbl>
    <w:p>
      <w:pPr>
        <w:spacing w:before="0" w:after="0" w:line="240" w:lineRule="auto"/>
        <w:jc w:val="both"/>
      </w:pPr>
      <w:r>
        <w:rPr>
          <w:rFonts w:ascii="Times New Roman" w:hAnsi="Times New Roman"/>
          <w:b w:val="0"/>
          <w:i w:val="0"/>
          <w:sz w:val="20"/>
          <w:u w:val="none"/>
        </w:rPr>
      </w:r>
    </w:p>
    <w:p>
      <w:pPr>
        <w:spacing w:before="120" w:after="120" w:line="240" w:lineRule="auto"/>
        <w:jc w:val="left"/>
      </w:pPr>
      <w:r>
        <w:rPr>
          <w:rFonts w:ascii="Times New Roman" w:hAnsi="Times New Roman"/>
          <w:b w:val="0"/>
          <w:i/>
          <w:sz w:val="20"/>
          <w:u w:val="none"/>
        </w:rPr>
        <w:t>B. PCA Analysis Results</w:t>
      </w:r>
    </w:p>
    <w:p>
      <w:pPr>
        <w:spacing w:before="0" w:after="0" w:line="240" w:lineRule="auto"/>
        <w:ind w:firstLine="0"/>
        <w:jc w:val="both"/>
      </w:pPr>
      <w:r>
        <w:rPr>
          <w:rFonts w:ascii="Times New Roman" w:hAnsi="Times New Roman"/>
          <w:b w:val="0"/>
          <w:i w:val="0"/>
          <w:sz w:val="20"/>
          <w:u w:val="none"/>
        </w:rPr>
        <w:t>PCA applied to the 20 retained features yields 9 components each explaining at least 5% of total variance, collectively accounting for 70.7% of total variance. Figure II presents the scree plot with the 5% retention threshold marked. Table II reports the variance explained by each retained component.</w:t>
      </w:r>
    </w:p>
    <w:p>
      <w:pPr>
        <w:spacing w:before="120" w:after="40" w:line="240" w:lineRule="auto"/>
        <w:jc w:val="center"/>
      </w:pPr>
      <w:r>
        <w:drawing>
          <wp:inline xmlns:a="http://schemas.openxmlformats.org/drawingml/2006/main" xmlns:pic="http://schemas.openxmlformats.org/drawingml/2006/picture">
            <wp:extent cx="2926080" cy="1554719"/>
            <wp:docPr id="3" name="Picture 3"/>
            <wp:cNvGraphicFramePr>
              <a:graphicFrameLocks noChangeAspect="1"/>
            </wp:cNvGraphicFramePr>
            <a:graphic>
              <a:graphicData uri="http://schemas.openxmlformats.org/drawingml/2006/picture">
                <pic:pic>
                  <pic:nvPicPr>
                    <pic:cNvPr id="0" name="02_pca_scree.png"/>
                    <pic:cNvPicPr/>
                  </pic:nvPicPr>
                  <pic:blipFill>
                    <a:blip r:embed="rId11"/>
                    <a:stretch>
                      <a:fillRect/>
                    </a:stretch>
                  </pic:blipFill>
                  <pic:spPr>
                    <a:xfrm>
                      <a:off x="0" y="0"/>
                      <a:ext cx="2926080" cy="1554719"/>
                    </a:xfrm>
                    <a:prstGeom prst="rect"/>
                  </pic:spPr>
                </pic:pic>
              </a:graphicData>
            </a:graphic>
          </wp:inline>
        </w:drawing>
      </w:r>
    </w:p>
    <w:p>
      <w:pPr>
        <w:spacing w:before="40" w:after="20" w:line="240" w:lineRule="auto"/>
        <w:jc w:val="center"/>
      </w:pPr>
      <w:r>
        <w:rPr>
          <w:rFonts w:ascii="Times New Roman" w:hAnsi="Times New Roman"/>
          <w:b w:val="0"/>
          <w:i w:val="0"/>
          <w:caps/>
          <w:sz w:val="20"/>
          <w:u w:val="none"/>
        </w:rPr>
        <w:t>FIGURE II</w:t>
      </w:r>
    </w:p>
    <w:p>
      <w:pPr>
        <w:spacing w:before="20" w:after="120" w:line="240" w:lineRule="auto"/>
        <w:jc w:val="center"/>
      </w:pPr>
      <w:r>
        <w:rPr>
          <w:rFonts w:ascii="Times New Roman" w:hAnsi="Times New Roman"/>
          <w:b w:val="0"/>
          <w:i w:val="0"/>
          <w:smallCaps/>
          <w:sz w:val="16"/>
          <w:u w:val="none"/>
        </w:rPr>
        <w:t>PCA Scree Plot. Green Bars Are Retained Components (&gt;=5% Variance). Blue Line Shows Cumulative Variance Explained.</w:t>
      </w:r>
    </w:p>
    <w:p>
      <w:pPr>
        <w:spacing w:before="120" w:after="20" w:line="240" w:lineRule="auto"/>
        <w:jc w:val="center"/>
      </w:pPr>
      <w:r>
        <w:rPr>
          <w:rFonts w:ascii="Times New Roman" w:hAnsi="Times New Roman"/>
          <w:b w:val="0"/>
          <w:i w:val="0"/>
          <w:caps/>
          <w:sz w:val="20"/>
          <w:u w:val="none"/>
        </w:rPr>
        <w:t>TABLE II</w:t>
      </w:r>
    </w:p>
    <w:p>
      <w:pPr>
        <w:spacing w:before="20" w:after="60" w:line="240" w:lineRule="auto"/>
        <w:jc w:val="center"/>
      </w:pPr>
      <w:r>
        <w:rPr>
          <w:rFonts w:ascii="Times New Roman" w:hAnsi="Times New Roman"/>
          <w:b w:val="0"/>
          <w:i w:val="0"/>
          <w:smallCaps/>
          <w:sz w:val="16"/>
          <w:u w:val="none"/>
        </w:rPr>
        <w:t>PCA Component Variance and Dominant Themes (Global Model)</w:t>
      </w:r>
    </w:p>
    <w:tbl>
      <w:tblPr>
        <w:tblStyle w:val="TableGrid"/>
        <w:tblW w:type="auto" w:w="0"/>
        <w:jc w:val="center"/>
        <w:tblLook w:firstColumn="1" w:firstRow="1" w:lastColumn="0" w:lastRow="0" w:noHBand="0" w:noVBand="1" w:val="04A0"/>
      </w:tblPr>
      <w:tblGrid>
        <w:gridCol w:w="3360"/>
        <w:gridCol w:w="3360"/>
        <w:gridCol w:w="3360"/>
      </w:tblGrid>
      <w:tr>
        <w:tc>
          <w:tcPr>
            <w:tcW w:type="dxa" w:w="1224"/>
            <w:vAlign w:val="center"/>
          </w:tcPr>
          <w:p>
            <w:pPr>
              <w:spacing w:before="20" w:after="20" w:line="240" w:lineRule="auto"/>
              <w:jc w:val="center"/>
            </w:pPr>
            <w:r/>
            <w:r>
              <w:rPr>
                <w:rFonts w:ascii="Times New Roman" w:hAnsi="Times New Roman"/>
                <w:b/>
                <w:i w:val="0"/>
                <w:sz w:val="16"/>
                <w:u w:val="none"/>
              </w:rPr>
              <w:t>Component</w:t>
            </w:r>
          </w:p>
        </w:tc>
        <w:tc>
          <w:tcPr>
            <w:tcW w:type="dxa" w:w="2520"/>
            <w:vAlign w:val="center"/>
          </w:tcPr>
          <w:p>
            <w:pPr>
              <w:spacing w:before="20" w:after="20" w:line="240" w:lineRule="auto"/>
              <w:jc w:val="center"/>
            </w:pPr>
            <w:r/>
            <w:r>
              <w:rPr>
                <w:rFonts w:ascii="Times New Roman" w:hAnsi="Times New Roman"/>
                <w:b/>
                <w:i w:val="0"/>
                <w:sz w:val="16"/>
                <w:u w:val="none"/>
              </w:rPr>
              <w:t>Dominant Theme</w:t>
            </w:r>
          </w:p>
        </w:tc>
        <w:tc>
          <w:tcPr>
            <w:tcW w:type="dxa" w:w="1224"/>
            <w:vAlign w:val="center"/>
          </w:tcPr>
          <w:p>
            <w:pPr>
              <w:spacing w:before="20" w:after="20" w:line="240" w:lineRule="auto"/>
              <w:jc w:val="center"/>
            </w:pPr>
            <w:r/>
            <w:r>
              <w:rPr>
                <w:rFonts w:ascii="Times New Roman" w:hAnsi="Times New Roman"/>
                <w:b/>
                <w:i w:val="0"/>
                <w:sz w:val="16"/>
                <w:u w:val="none"/>
              </w:rPr>
              <w:t>Variance (%)</w:t>
            </w:r>
          </w:p>
        </w:tc>
      </w:tr>
      <w:tr>
        <w:tc>
          <w:tcPr>
            <w:tcW w:type="dxa" w:w="1224"/>
            <w:vAlign w:val="center"/>
          </w:tcPr>
          <w:p>
            <w:pPr>
              <w:spacing w:before="20" w:after="20" w:line="240" w:lineRule="auto"/>
              <w:jc w:val="center"/>
            </w:pPr>
            <w:r/>
            <w:r>
              <w:rPr>
                <w:rFonts w:ascii="Times New Roman" w:hAnsi="Times New Roman"/>
                <w:b w:val="0"/>
                <w:i w:val="0"/>
                <w:sz w:val="16"/>
                <w:u w:val="none"/>
              </w:rPr>
              <w:t>PC1</w:t>
            </w:r>
          </w:p>
        </w:tc>
        <w:tc>
          <w:tcPr>
            <w:tcW w:type="dxa" w:w="2520"/>
            <w:vAlign w:val="center"/>
          </w:tcPr>
          <w:p>
            <w:pPr>
              <w:spacing w:before="20" w:after="20" w:line="240" w:lineRule="auto"/>
              <w:jc w:val="center"/>
            </w:pPr>
            <w:r/>
            <w:r>
              <w:rPr>
                <w:rFonts w:ascii="Times New Roman" w:hAnsi="Times New Roman"/>
                <w:b w:val="0"/>
                <w:i w:val="0"/>
                <w:sz w:val="16"/>
                <w:u w:val="none"/>
              </w:rPr>
              <w:t>Profitability (margins, ROE)</w:t>
            </w:r>
          </w:p>
        </w:tc>
        <w:tc>
          <w:tcPr>
            <w:tcW w:type="dxa" w:w="1224"/>
            <w:vAlign w:val="center"/>
          </w:tcPr>
          <w:p>
            <w:pPr>
              <w:spacing w:before="20" w:after="20" w:line="240" w:lineRule="auto"/>
              <w:jc w:val="center"/>
            </w:pPr>
            <w:r/>
            <w:r>
              <w:rPr>
                <w:rFonts w:ascii="Times New Roman" w:hAnsi="Times New Roman"/>
                <w:b w:val="0"/>
                <w:i w:val="0"/>
                <w:sz w:val="16"/>
                <w:u w:val="none"/>
              </w:rPr>
              <w:t>12.7</w:t>
            </w:r>
          </w:p>
        </w:tc>
      </w:tr>
      <w:tr>
        <w:tc>
          <w:tcPr>
            <w:tcW w:type="dxa" w:w="1224"/>
            <w:vAlign w:val="center"/>
          </w:tcPr>
          <w:p>
            <w:pPr>
              <w:spacing w:before="20" w:after="20" w:line="240" w:lineRule="auto"/>
              <w:jc w:val="center"/>
            </w:pPr>
            <w:r/>
            <w:r>
              <w:rPr>
                <w:rFonts w:ascii="Times New Roman" w:hAnsi="Times New Roman"/>
                <w:b w:val="0"/>
                <w:i w:val="0"/>
                <w:sz w:val="16"/>
                <w:u w:val="none"/>
              </w:rPr>
              <w:t>PC2</w:t>
            </w:r>
          </w:p>
        </w:tc>
        <w:tc>
          <w:tcPr>
            <w:tcW w:type="dxa" w:w="2520"/>
            <w:vAlign w:val="center"/>
          </w:tcPr>
          <w:p>
            <w:pPr>
              <w:spacing w:before="20" w:after="20" w:line="240" w:lineRule="auto"/>
              <w:jc w:val="center"/>
            </w:pPr>
            <w:r/>
            <w:r>
              <w:rPr>
                <w:rFonts w:ascii="Times New Roman" w:hAnsi="Times New Roman"/>
                <w:b w:val="0"/>
                <w:i w:val="0"/>
                <w:sz w:val="16"/>
                <w:u w:val="none"/>
              </w:rPr>
              <w:t>Leverage &amp; Liquidity</w:t>
            </w:r>
          </w:p>
        </w:tc>
        <w:tc>
          <w:tcPr>
            <w:tcW w:type="dxa" w:w="1224"/>
            <w:vAlign w:val="center"/>
          </w:tcPr>
          <w:p>
            <w:pPr>
              <w:spacing w:before="20" w:after="20" w:line="240" w:lineRule="auto"/>
              <w:jc w:val="center"/>
            </w:pPr>
            <w:r/>
            <w:r>
              <w:rPr>
                <w:rFonts w:ascii="Times New Roman" w:hAnsi="Times New Roman"/>
                <w:b w:val="0"/>
                <w:i w:val="0"/>
                <w:sz w:val="16"/>
                <w:u w:val="none"/>
              </w:rPr>
              <w:t>10.3</w:t>
            </w:r>
          </w:p>
        </w:tc>
      </w:tr>
      <w:tr>
        <w:tc>
          <w:tcPr>
            <w:tcW w:type="dxa" w:w="1224"/>
            <w:vAlign w:val="center"/>
          </w:tcPr>
          <w:p>
            <w:pPr>
              <w:spacing w:before="20" w:after="20" w:line="240" w:lineRule="auto"/>
              <w:jc w:val="center"/>
            </w:pPr>
            <w:r/>
            <w:r>
              <w:rPr>
                <w:rFonts w:ascii="Times New Roman" w:hAnsi="Times New Roman"/>
                <w:b w:val="0"/>
                <w:i w:val="0"/>
                <w:sz w:val="16"/>
                <w:u w:val="none"/>
              </w:rPr>
              <w:t>PC3</w:t>
            </w:r>
          </w:p>
        </w:tc>
        <w:tc>
          <w:tcPr>
            <w:tcW w:type="dxa" w:w="2520"/>
            <w:vAlign w:val="center"/>
          </w:tcPr>
          <w:p>
            <w:pPr>
              <w:spacing w:before="20" w:after="20" w:line="240" w:lineRule="auto"/>
              <w:jc w:val="center"/>
            </w:pPr>
            <w:r/>
            <w:r>
              <w:rPr>
                <w:rFonts w:ascii="Times New Roman" w:hAnsi="Times New Roman"/>
                <w:b w:val="0"/>
                <w:i w:val="0"/>
                <w:sz w:val="16"/>
                <w:u w:val="none"/>
              </w:rPr>
              <w:t>Revenue Momentum</w:t>
            </w:r>
          </w:p>
        </w:tc>
        <w:tc>
          <w:tcPr>
            <w:tcW w:type="dxa" w:w="1224"/>
            <w:vAlign w:val="center"/>
          </w:tcPr>
          <w:p>
            <w:pPr>
              <w:spacing w:before="20" w:after="20" w:line="240" w:lineRule="auto"/>
              <w:jc w:val="center"/>
            </w:pPr>
            <w:r/>
            <w:r>
              <w:rPr>
                <w:rFonts w:ascii="Times New Roman" w:hAnsi="Times New Roman"/>
                <w:b w:val="0"/>
                <w:i w:val="0"/>
                <w:sz w:val="16"/>
                <w:u w:val="none"/>
              </w:rPr>
              <w:t>9.3</w:t>
            </w:r>
          </w:p>
        </w:tc>
      </w:tr>
      <w:tr>
        <w:tc>
          <w:tcPr>
            <w:tcW w:type="dxa" w:w="1224"/>
            <w:vAlign w:val="center"/>
          </w:tcPr>
          <w:p>
            <w:pPr>
              <w:spacing w:before="20" w:after="20" w:line="240" w:lineRule="auto"/>
              <w:jc w:val="center"/>
            </w:pPr>
            <w:r/>
            <w:r>
              <w:rPr>
                <w:rFonts w:ascii="Times New Roman" w:hAnsi="Times New Roman"/>
                <w:b w:val="0"/>
                <w:i w:val="0"/>
                <w:sz w:val="16"/>
                <w:u w:val="none"/>
              </w:rPr>
              <w:t>PC4</w:t>
            </w:r>
          </w:p>
        </w:tc>
        <w:tc>
          <w:tcPr>
            <w:tcW w:type="dxa" w:w="2520"/>
            <w:vAlign w:val="center"/>
          </w:tcPr>
          <w:p>
            <w:pPr>
              <w:spacing w:before="20" w:after="20" w:line="240" w:lineRule="auto"/>
              <w:jc w:val="center"/>
            </w:pPr>
            <w:r/>
            <w:r>
              <w:rPr>
                <w:rFonts w:ascii="Times New Roman" w:hAnsi="Times New Roman"/>
                <w:b w:val="0"/>
                <w:i w:val="0"/>
                <w:sz w:val="16"/>
                <w:u w:val="none"/>
              </w:rPr>
              <w:t>Valuation (P/E, B/M)</w:t>
            </w:r>
          </w:p>
        </w:tc>
        <w:tc>
          <w:tcPr>
            <w:tcW w:type="dxa" w:w="1224"/>
            <w:vAlign w:val="center"/>
          </w:tcPr>
          <w:p>
            <w:pPr>
              <w:spacing w:before="20" w:after="20" w:line="240" w:lineRule="auto"/>
              <w:jc w:val="center"/>
            </w:pPr>
            <w:r/>
            <w:r>
              <w:rPr>
                <w:rFonts w:ascii="Times New Roman" w:hAnsi="Times New Roman"/>
                <w:b w:val="0"/>
                <w:i w:val="0"/>
                <w:sz w:val="16"/>
                <w:u w:val="none"/>
              </w:rPr>
              <w:t>7.9</w:t>
            </w:r>
          </w:p>
        </w:tc>
      </w:tr>
      <w:tr>
        <w:tc>
          <w:tcPr>
            <w:tcW w:type="dxa" w:w="1224"/>
            <w:vAlign w:val="center"/>
          </w:tcPr>
          <w:p>
            <w:pPr>
              <w:spacing w:before="20" w:after="20" w:line="240" w:lineRule="auto"/>
              <w:jc w:val="center"/>
            </w:pPr>
            <w:r/>
            <w:r>
              <w:rPr>
                <w:rFonts w:ascii="Times New Roman" w:hAnsi="Times New Roman"/>
                <w:b w:val="0"/>
                <w:i w:val="0"/>
                <w:sz w:val="16"/>
                <w:u w:val="none"/>
              </w:rPr>
              <w:t>PC5</w:t>
            </w:r>
          </w:p>
        </w:tc>
        <w:tc>
          <w:tcPr>
            <w:tcW w:type="dxa" w:w="2520"/>
            <w:vAlign w:val="center"/>
          </w:tcPr>
          <w:p>
            <w:pPr>
              <w:spacing w:before="20" w:after="20" w:line="240" w:lineRule="auto"/>
              <w:jc w:val="center"/>
            </w:pPr>
            <w:r/>
            <w:r>
              <w:rPr>
                <w:rFonts w:ascii="Times New Roman" w:hAnsi="Times New Roman"/>
                <w:b w:val="0"/>
                <w:i w:val="0"/>
                <w:sz w:val="16"/>
                <w:u w:val="none"/>
              </w:rPr>
              <w:t>NI &amp; Margin Delta</w:t>
            </w:r>
          </w:p>
        </w:tc>
        <w:tc>
          <w:tcPr>
            <w:tcW w:type="dxa" w:w="1224"/>
            <w:vAlign w:val="center"/>
          </w:tcPr>
          <w:p>
            <w:pPr>
              <w:spacing w:before="20" w:after="20" w:line="240" w:lineRule="auto"/>
              <w:jc w:val="center"/>
            </w:pPr>
            <w:r/>
            <w:r>
              <w:rPr>
                <w:rFonts w:ascii="Times New Roman" w:hAnsi="Times New Roman"/>
                <w:b w:val="0"/>
                <w:i w:val="0"/>
                <w:sz w:val="16"/>
                <w:u w:val="none"/>
              </w:rPr>
              <w:t>7.3</w:t>
            </w:r>
          </w:p>
        </w:tc>
      </w:tr>
      <w:tr>
        <w:tc>
          <w:tcPr>
            <w:tcW w:type="dxa" w:w="1224"/>
            <w:vAlign w:val="center"/>
          </w:tcPr>
          <w:p>
            <w:pPr>
              <w:spacing w:before="20" w:after="20" w:line="240" w:lineRule="auto"/>
              <w:jc w:val="center"/>
            </w:pPr>
            <w:r/>
            <w:r>
              <w:rPr>
                <w:rFonts w:ascii="Times New Roman" w:hAnsi="Times New Roman"/>
                <w:b w:val="0"/>
                <w:i w:val="0"/>
                <w:sz w:val="16"/>
                <w:u w:val="none"/>
              </w:rPr>
              <w:t>PC6</w:t>
            </w:r>
          </w:p>
        </w:tc>
        <w:tc>
          <w:tcPr>
            <w:tcW w:type="dxa" w:w="2520"/>
            <w:vAlign w:val="center"/>
          </w:tcPr>
          <w:p>
            <w:pPr>
              <w:spacing w:before="20" w:after="20" w:line="240" w:lineRule="auto"/>
              <w:jc w:val="center"/>
            </w:pPr>
            <w:r/>
            <w:r>
              <w:rPr>
                <w:rFonts w:ascii="Times New Roman" w:hAnsi="Times New Roman"/>
                <w:b w:val="0"/>
                <w:i w:val="0"/>
                <w:sz w:val="16"/>
                <w:u w:val="none"/>
              </w:rPr>
              <w:t>Asset Efficiency</w:t>
            </w:r>
          </w:p>
        </w:tc>
        <w:tc>
          <w:tcPr>
            <w:tcW w:type="dxa" w:w="1224"/>
            <w:vAlign w:val="center"/>
          </w:tcPr>
          <w:p>
            <w:pPr>
              <w:spacing w:before="20" w:after="20" w:line="240" w:lineRule="auto"/>
              <w:jc w:val="center"/>
            </w:pPr>
            <w:r/>
            <w:r>
              <w:rPr>
                <w:rFonts w:ascii="Times New Roman" w:hAnsi="Times New Roman"/>
                <w:b w:val="0"/>
                <w:i w:val="0"/>
                <w:sz w:val="16"/>
                <w:u w:val="none"/>
              </w:rPr>
              <w:t>6.3</w:t>
            </w:r>
          </w:p>
        </w:tc>
      </w:tr>
      <w:tr>
        <w:tc>
          <w:tcPr>
            <w:tcW w:type="dxa" w:w="1224"/>
            <w:vAlign w:val="center"/>
          </w:tcPr>
          <w:p>
            <w:pPr>
              <w:spacing w:before="20" w:after="20" w:line="240" w:lineRule="auto"/>
              <w:jc w:val="center"/>
            </w:pPr>
            <w:r/>
            <w:r>
              <w:rPr>
                <w:rFonts w:ascii="Times New Roman" w:hAnsi="Times New Roman"/>
                <w:b w:val="0"/>
                <w:i w:val="0"/>
                <w:sz w:val="16"/>
                <w:u w:val="none"/>
              </w:rPr>
              <w:t>PC7</w:t>
            </w:r>
          </w:p>
        </w:tc>
        <w:tc>
          <w:tcPr>
            <w:tcW w:type="dxa" w:w="2520"/>
            <w:vAlign w:val="center"/>
          </w:tcPr>
          <w:p>
            <w:pPr>
              <w:spacing w:before="20" w:after="20" w:line="240" w:lineRule="auto"/>
              <w:jc w:val="center"/>
            </w:pPr>
            <w:r/>
            <w:r>
              <w:rPr>
                <w:rFonts w:ascii="Times New Roman" w:hAnsi="Times New Roman"/>
                <w:b w:val="0"/>
                <w:i w:val="0"/>
                <w:sz w:val="16"/>
                <w:u w:val="none"/>
              </w:rPr>
              <w:t>Macro Environment</w:t>
            </w:r>
          </w:p>
        </w:tc>
        <w:tc>
          <w:tcPr>
            <w:tcW w:type="dxa" w:w="1224"/>
            <w:vAlign w:val="center"/>
          </w:tcPr>
          <w:p>
            <w:pPr>
              <w:spacing w:before="20" w:after="20" w:line="240" w:lineRule="auto"/>
              <w:jc w:val="center"/>
            </w:pPr>
            <w:r/>
            <w:r>
              <w:rPr>
                <w:rFonts w:ascii="Times New Roman" w:hAnsi="Times New Roman"/>
                <w:b w:val="0"/>
                <w:i w:val="0"/>
                <w:sz w:val="16"/>
                <w:u w:val="none"/>
              </w:rPr>
              <w:t>5.8</w:t>
            </w:r>
          </w:p>
        </w:tc>
      </w:tr>
      <w:tr>
        <w:tc>
          <w:tcPr>
            <w:tcW w:type="dxa" w:w="1224"/>
            <w:vAlign w:val="center"/>
          </w:tcPr>
          <w:p>
            <w:pPr>
              <w:spacing w:before="20" w:after="20" w:line="240" w:lineRule="auto"/>
              <w:jc w:val="center"/>
            </w:pPr>
            <w:r/>
            <w:r>
              <w:rPr>
                <w:rFonts w:ascii="Times New Roman" w:hAnsi="Times New Roman"/>
                <w:b w:val="0"/>
                <w:i w:val="0"/>
                <w:sz w:val="16"/>
                <w:u w:val="none"/>
              </w:rPr>
              <w:t>PC8</w:t>
            </w:r>
          </w:p>
        </w:tc>
        <w:tc>
          <w:tcPr>
            <w:tcW w:type="dxa" w:w="2520"/>
            <w:vAlign w:val="center"/>
          </w:tcPr>
          <w:p>
            <w:pPr>
              <w:spacing w:before="20" w:after="20" w:line="240" w:lineRule="auto"/>
              <w:jc w:val="center"/>
            </w:pPr>
            <w:r/>
            <w:r>
              <w:rPr>
                <w:rFonts w:ascii="Times New Roman" w:hAnsi="Times New Roman"/>
                <w:b w:val="0"/>
                <w:i w:val="0"/>
                <w:sz w:val="16"/>
                <w:u w:val="none"/>
              </w:rPr>
              <w:t>Equity Momentum</w:t>
            </w:r>
          </w:p>
        </w:tc>
        <w:tc>
          <w:tcPr>
            <w:tcW w:type="dxa" w:w="1224"/>
            <w:vAlign w:val="center"/>
          </w:tcPr>
          <w:p>
            <w:pPr>
              <w:spacing w:before="20" w:after="20" w:line="240" w:lineRule="auto"/>
              <w:jc w:val="center"/>
            </w:pPr>
            <w:r/>
            <w:r>
              <w:rPr>
                <w:rFonts w:ascii="Times New Roman" w:hAnsi="Times New Roman"/>
                <w:b w:val="0"/>
                <w:i w:val="0"/>
                <w:sz w:val="16"/>
                <w:u w:val="none"/>
              </w:rPr>
              <w:t>5.7</w:t>
            </w:r>
          </w:p>
        </w:tc>
      </w:tr>
      <w:tr>
        <w:tc>
          <w:tcPr>
            <w:tcW w:type="dxa" w:w="1224"/>
            <w:vAlign w:val="center"/>
          </w:tcPr>
          <w:p>
            <w:pPr>
              <w:spacing w:before="20" w:after="20" w:line="240" w:lineRule="auto"/>
              <w:jc w:val="center"/>
            </w:pPr>
            <w:r/>
            <w:r>
              <w:rPr>
                <w:rFonts w:ascii="Times New Roman" w:hAnsi="Times New Roman"/>
                <w:b w:val="0"/>
                <w:i w:val="0"/>
                <w:sz w:val="16"/>
                <w:u w:val="none"/>
              </w:rPr>
              <w:t>PC9</w:t>
            </w:r>
          </w:p>
        </w:tc>
        <w:tc>
          <w:tcPr>
            <w:tcW w:type="dxa" w:w="2520"/>
            <w:vAlign w:val="center"/>
          </w:tcPr>
          <w:p>
            <w:pPr>
              <w:spacing w:before="20" w:after="20" w:line="240" w:lineRule="auto"/>
              <w:jc w:val="center"/>
            </w:pPr>
            <w:r/>
            <w:r>
              <w:rPr>
                <w:rFonts w:ascii="Times New Roman" w:hAnsi="Times New Roman"/>
                <w:b w:val="0"/>
                <w:i w:val="0"/>
                <w:sz w:val="16"/>
                <w:u w:val="none"/>
              </w:rPr>
              <w:t>Mixed Residual</w:t>
            </w:r>
          </w:p>
        </w:tc>
        <w:tc>
          <w:tcPr>
            <w:tcW w:type="dxa" w:w="1224"/>
            <w:vAlign w:val="center"/>
          </w:tcPr>
          <w:p>
            <w:pPr>
              <w:spacing w:before="20" w:after="20" w:line="240" w:lineRule="auto"/>
              <w:jc w:val="center"/>
            </w:pPr>
            <w:r/>
            <w:r>
              <w:rPr>
                <w:rFonts w:ascii="Times New Roman" w:hAnsi="Times New Roman"/>
                <w:b w:val="0"/>
                <w:i w:val="0"/>
                <w:sz w:val="16"/>
                <w:u w:val="none"/>
              </w:rPr>
              <w:t>5.3</w:t>
            </w:r>
          </w:p>
        </w:tc>
      </w:tr>
      <w:tr>
        <w:tc>
          <w:tcPr>
            <w:tcW w:type="dxa" w:w="1224"/>
            <w:vAlign w:val="center"/>
          </w:tcPr>
          <w:p>
            <w:pPr>
              <w:spacing w:before="20" w:after="20" w:line="240" w:lineRule="auto"/>
              <w:jc w:val="center"/>
            </w:pPr>
            <w:r/>
            <w:r>
              <w:rPr>
                <w:rFonts w:ascii="Times New Roman" w:hAnsi="Times New Roman"/>
                <w:b w:val="0"/>
                <w:i w:val="0"/>
                <w:sz w:val="16"/>
                <w:u w:val="none"/>
              </w:rPr>
              <w:t>Total</w:t>
            </w:r>
          </w:p>
        </w:tc>
        <w:tc>
          <w:tcPr>
            <w:tcW w:type="dxa" w:w="2520"/>
            <w:vAlign w:val="center"/>
          </w:tcPr>
          <w:p>
            <w:pPr>
              <w:spacing w:before="20" w:after="20" w:line="240" w:lineRule="auto"/>
              <w:jc w:val="center"/>
            </w:pPr>
            <w:r/>
            <w:r>
              <w:rPr>
                <w:rFonts w:ascii="Times New Roman" w:hAnsi="Times New Roman"/>
                <w:b w:val="0"/>
                <w:i w:val="0"/>
                <w:sz w:val="16"/>
                <w:u w:val="none"/>
              </w:rPr>
            </w:r>
          </w:p>
        </w:tc>
        <w:tc>
          <w:tcPr>
            <w:tcW w:type="dxa" w:w="1224"/>
            <w:vAlign w:val="center"/>
          </w:tcPr>
          <w:p>
            <w:pPr>
              <w:spacing w:before="20" w:after="20" w:line="240" w:lineRule="auto"/>
              <w:jc w:val="center"/>
            </w:pPr>
            <w:r/>
            <w:r>
              <w:rPr>
                <w:rFonts w:ascii="Times New Roman" w:hAnsi="Times New Roman"/>
                <w:b w:val="0"/>
                <w:i w:val="0"/>
                <w:sz w:val="16"/>
                <w:u w:val="none"/>
              </w:rPr>
              <w:t>70.7</w:t>
            </w:r>
          </w:p>
        </w:tc>
      </w:tr>
    </w:tbl>
    <w:p>
      <w:pPr>
        <w:spacing w:before="0" w:after="0" w:line="240" w:lineRule="auto"/>
        <w:jc w:val="both"/>
      </w:pPr>
      <w:r>
        <w:rPr>
          <w:rFonts w:ascii="Times New Roman" w:hAnsi="Times New Roman"/>
          <w:b w:val="0"/>
          <w:i w:val="0"/>
          <w:sz w:val="20"/>
          <w:u w:val="none"/>
        </w:rPr>
      </w:r>
    </w:p>
    <w:p>
      <w:pPr>
        <w:spacing w:before="120" w:after="120" w:line="240" w:lineRule="auto"/>
        <w:jc w:val="left"/>
      </w:pPr>
      <w:r>
        <w:rPr>
          <w:rFonts w:ascii="Times New Roman" w:hAnsi="Times New Roman"/>
          <w:b w:val="0"/>
          <w:i/>
          <w:sz w:val="20"/>
          <w:u w:val="none"/>
        </w:rPr>
        <w:t>C. Global Model Estimation</w:t>
      </w:r>
    </w:p>
    <w:p>
      <w:pPr>
        <w:spacing w:before="0" w:after="0" w:line="240" w:lineRule="auto"/>
        <w:ind w:firstLine="0"/>
        <w:jc w:val="both"/>
      </w:pPr>
      <w:r>
        <w:rPr>
          <w:rFonts w:ascii="Times New Roman" w:hAnsi="Times New Roman"/>
          <w:b w:val="0"/>
          <w:i w:val="0"/>
          <w:sz w:val="20"/>
          <w:u w:val="none"/>
        </w:rPr>
        <w:t>The global logistic regression model is estimated on 16,589 training observations using all 9 PCA components with balanced class weights. Table III reports coefficient estimates, Wald z-statistics, and significance levels. Four components reach statistical significance at p &lt; 0.05: PC1 (profitability, z = 4.955), PC3 (revenue momentum, z = -2.377), PC6 (asset efficiency, z = -5.114), and PC7 (macro environment, z = -3.015). McFadden's Pseudo-R² = 0.0029. The overall model is statistically significant (LR test p &lt; 0.0001).</w:t>
      </w:r>
    </w:p>
    <w:p>
      <w:pPr>
        <w:spacing w:before="120" w:after="20" w:line="240" w:lineRule="auto"/>
        <w:jc w:val="center"/>
      </w:pPr>
      <w:r>
        <w:rPr>
          <w:rFonts w:ascii="Times New Roman" w:hAnsi="Times New Roman"/>
          <w:b w:val="0"/>
          <w:i w:val="0"/>
          <w:caps/>
          <w:sz w:val="20"/>
          <w:u w:val="none"/>
        </w:rPr>
        <w:t>TABLE III</w:t>
      </w:r>
    </w:p>
    <w:p>
      <w:pPr>
        <w:spacing w:before="20" w:after="60" w:line="240" w:lineRule="auto"/>
        <w:jc w:val="center"/>
      </w:pPr>
      <w:r>
        <w:rPr>
          <w:rFonts w:ascii="Times New Roman" w:hAnsi="Times New Roman"/>
          <w:b w:val="0"/>
          <w:i w:val="0"/>
          <w:smallCaps/>
          <w:sz w:val="16"/>
          <w:u w:val="none"/>
        </w:rPr>
        <w:t>PCA Component Coefficients and Wald Test Results (Global Model)</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864"/>
            <w:vAlign w:val="center"/>
          </w:tcPr>
          <w:p>
            <w:pPr>
              <w:spacing w:before="20" w:after="20" w:line="240" w:lineRule="auto"/>
              <w:jc w:val="center"/>
            </w:pPr>
            <w:r/>
            <w:r>
              <w:rPr>
                <w:rFonts w:ascii="Times New Roman" w:hAnsi="Times New Roman"/>
                <w:b/>
                <w:i w:val="0"/>
                <w:sz w:val="16"/>
                <w:u w:val="none"/>
              </w:rPr>
              <w:t>Comp.</w:t>
            </w:r>
          </w:p>
        </w:tc>
        <w:tc>
          <w:tcPr>
            <w:tcW w:type="dxa" w:w="936"/>
            <w:vAlign w:val="center"/>
          </w:tcPr>
          <w:p>
            <w:pPr>
              <w:spacing w:before="20" w:after="20" w:line="240" w:lineRule="auto"/>
              <w:jc w:val="center"/>
            </w:pPr>
            <w:r/>
            <w:r>
              <w:rPr>
                <w:rFonts w:ascii="Times New Roman" w:hAnsi="Times New Roman"/>
                <w:b/>
                <w:i w:val="0"/>
                <w:sz w:val="16"/>
                <w:u w:val="none"/>
              </w:rPr>
              <w:t>Coeff.</w:t>
            </w:r>
          </w:p>
        </w:tc>
        <w:tc>
          <w:tcPr>
            <w:tcW w:type="dxa" w:w="1224"/>
            <w:vAlign w:val="center"/>
          </w:tcPr>
          <w:p>
            <w:pPr>
              <w:spacing w:before="20" w:after="20" w:line="240" w:lineRule="auto"/>
              <w:jc w:val="center"/>
            </w:pPr>
            <w:r/>
            <w:r>
              <w:rPr>
                <w:rFonts w:ascii="Times New Roman" w:hAnsi="Times New Roman"/>
                <w:b/>
                <w:i w:val="0"/>
                <w:sz w:val="16"/>
                <w:u w:val="none"/>
              </w:rPr>
              <w:t>Odds Ratio</w:t>
            </w:r>
          </w:p>
        </w:tc>
        <w:tc>
          <w:tcPr>
            <w:tcW w:type="dxa" w:w="1008"/>
            <w:vAlign w:val="center"/>
          </w:tcPr>
          <w:p>
            <w:pPr>
              <w:spacing w:before="20" w:after="20" w:line="240" w:lineRule="auto"/>
              <w:jc w:val="center"/>
            </w:pPr>
            <w:r/>
            <w:r>
              <w:rPr>
                <w:rFonts w:ascii="Times New Roman" w:hAnsi="Times New Roman"/>
                <w:b/>
                <w:i w:val="0"/>
                <w:sz w:val="16"/>
                <w:u w:val="none"/>
              </w:rPr>
              <w:t>z-Stat</w:t>
            </w:r>
          </w:p>
        </w:tc>
        <w:tc>
          <w:tcPr>
            <w:tcW w:type="dxa" w:w="792"/>
            <w:vAlign w:val="center"/>
          </w:tcPr>
          <w:p>
            <w:pPr>
              <w:spacing w:before="20" w:after="20" w:line="240" w:lineRule="auto"/>
              <w:jc w:val="center"/>
            </w:pPr>
            <w:r/>
            <w:r>
              <w:rPr>
                <w:rFonts w:ascii="Times New Roman" w:hAnsi="Times New Roman"/>
                <w:b/>
                <w:i w:val="0"/>
                <w:sz w:val="16"/>
                <w:u w:val="none"/>
              </w:rPr>
              <w:t>Sig.</w:t>
            </w:r>
          </w:p>
        </w:tc>
      </w:tr>
      <w:tr>
        <w:tc>
          <w:tcPr>
            <w:tcW w:type="dxa" w:w="864"/>
            <w:vAlign w:val="center"/>
          </w:tcPr>
          <w:p>
            <w:pPr>
              <w:spacing w:before="20" w:after="20" w:line="240" w:lineRule="auto"/>
              <w:jc w:val="center"/>
            </w:pPr>
            <w:r/>
            <w:r>
              <w:rPr>
                <w:rFonts w:ascii="Times New Roman" w:hAnsi="Times New Roman"/>
                <w:b w:val="0"/>
                <w:i w:val="0"/>
                <w:sz w:val="16"/>
                <w:u w:val="none"/>
              </w:rPr>
              <w:t>PC1</w:t>
            </w:r>
          </w:p>
        </w:tc>
        <w:tc>
          <w:tcPr>
            <w:tcW w:type="dxa" w:w="936"/>
            <w:vAlign w:val="center"/>
          </w:tcPr>
          <w:p>
            <w:pPr>
              <w:spacing w:before="20" w:after="20" w:line="240" w:lineRule="auto"/>
              <w:jc w:val="center"/>
            </w:pPr>
            <w:r/>
            <w:r>
              <w:rPr>
                <w:rFonts w:ascii="Times New Roman" w:hAnsi="Times New Roman"/>
                <w:b w:val="0"/>
                <w:i w:val="0"/>
                <w:sz w:val="16"/>
                <w:u w:val="none"/>
              </w:rPr>
              <w:t xml:space="preserve"> 0.0486</w:t>
            </w:r>
          </w:p>
        </w:tc>
        <w:tc>
          <w:tcPr>
            <w:tcW w:type="dxa" w:w="1224"/>
            <w:vAlign w:val="center"/>
          </w:tcPr>
          <w:p>
            <w:pPr>
              <w:spacing w:before="20" w:after="20" w:line="240" w:lineRule="auto"/>
              <w:jc w:val="center"/>
            </w:pPr>
            <w:r/>
            <w:r>
              <w:rPr>
                <w:rFonts w:ascii="Times New Roman" w:hAnsi="Times New Roman"/>
                <w:b w:val="0"/>
                <w:i w:val="0"/>
                <w:sz w:val="16"/>
                <w:u w:val="none"/>
              </w:rPr>
              <w:t>1.050</w:t>
            </w:r>
          </w:p>
        </w:tc>
        <w:tc>
          <w:tcPr>
            <w:tcW w:type="dxa" w:w="1008"/>
            <w:vAlign w:val="center"/>
          </w:tcPr>
          <w:p>
            <w:pPr>
              <w:spacing w:before="20" w:after="20" w:line="240" w:lineRule="auto"/>
              <w:jc w:val="center"/>
            </w:pPr>
            <w:r/>
            <w:r>
              <w:rPr>
                <w:rFonts w:ascii="Times New Roman" w:hAnsi="Times New Roman"/>
                <w:b w:val="0"/>
                <w:i w:val="0"/>
                <w:sz w:val="16"/>
                <w:u w:val="none"/>
              </w:rPr>
              <w:t xml:space="preserve"> 4.955</w:t>
            </w:r>
          </w:p>
        </w:tc>
        <w:tc>
          <w:tcPr>
            <w:tcW w:type="dxa" w:w="792"/>
            <w:vAlign w:val="center"/>
          </w:tcPr>
          <w:p>
            <w:pPr>
              <w:spacing w:before="20" w:after="20" w:line="240" w:lineRule="auto"/>
              <w:jc w:val="center"/>
            </w:pPr>
            <w:r/>
            <w:r>
              <w:rPr>
                <w:rFonts w:ascii="Times New Roman" w:hAnsi="Times New Roman"/>
                <w:b w:val="0"/>
                <w:i w:val="0"/>
                <w:sz w:val="16"/>
                <w:u w:val="none"/>
              </w:rPr>
              <w:t>***</w:t>
            </w:r>
          </w:p>
        </w:tc>
      </w:tr>
      <w:tr>
        <w:tc>
          <w:tcPr>
            <w:tcW w:type="dxa" w:w="864"/>
            <w:vAlign w:val="center"/>
          </w:tcPr>
          <w:p>
            <w:pPr>
              <w:spacing w:before="20" w:after="20" w:line="240" w:lineRule="auto"/>
              <w:jc w:val="center"/>
            </w:pPr>
            <w:r/>
            <w:r>
              <w:rPr>
                <w:rFonts w:ascii="Times New Roman" w:hAnsi="Times New Roman"/>
                <w:b w:val="0"/>
                <w:i w:val="0"/>
                <w:sz w:val="16"/>
                <w:u w:val="none"/>
              </w:rPr>
              <w:t>PC2</w:t>
            </w:r>
          </w:p>
        </w:tc>
        <w:tc>
          <w:tcPr>
            <w:tcW w:type="dxa" w:w="936"/>
            <w:vAlign w:val="center"/>
          </w:tcPr>
          <w:p>
            <w:pPr>
              <w:spacing w:before="20" w:after="20" w:line="240" w:lineRule="auto"/>
              <w:jc w:val="center"/>
            </w:pPr>
            <w:r/>
            <w:r>
              <w:rPr>
                <w:rFonts w:ascii="Times New Roman" w:hAnsi="Times New Roman"/>
                <w:b w:val="0"/>
                <w:i w:val="0"/>
                <w:sz w:val="16"/>
                <w:u w:val="none"/>
              </w:rPr>
              <w:t xml:space="preserve"> 0.0016</w:t>
            </w:r>
          </w:p>
        </w:tc>
        <w:tc>
          <w:tcPr>
            <w:tcW w:type="dxa" w:w="1224"/>
            <w:vAlign w:val="center"/>
          </w:tcPr>
          <w:p>
            <w:pPr>
              <w:spacing w:before="20" w:after="20" w:line="240" w:lineRule="auto"/>
              <w:jc w:val="center"/>
            </w:pPr>
            <w:r/>
            <w:r>
              <w:rPr>
                <w:rFonts w:ascii="Times New Roman" w:hAnsi="Times New Roman"/>
                <w:b w:val="0"/>
                <w:i w:val="0"/>
                <w:sz w:val="16"/>
                <w:u w:val="none"/>
              </w:rPr>
              <w:t>1.002</w:t>
            </w:r>
          </w:p>
        </w:tc>
        <w:tc>
          <w:tcPr>
            <w:tcW w:type="dxa" w:w="1008"/>
            <w:vAlign w:val="center"/>
          </w:tcPr>
          <w:p>
            <w:pPr>
              <w:spacing w:before="20" w:after="20" w:line="240" w:lineRule="auto"/>
              <w:jc w:val="center"/>
            </w:pPr>
            <w:r/>
            <w:r>
              <w:rPr>
                <w:rFonts w:ascii="Times New Roman" w:hAnsi="Times New Roman"/>
                <w:b w:val="0"/>
                <w:i w:val="0"/>
                <w:sz w:val="16"/>
                <w:u w:val="none"/>
              </w:rPr>
              <w:t xml:space="preserve"> 0.151</w:t>
            </w:r>
          </w:p>
        </w:tc>
        <w:tc>
          <w:tcPr>
            <w:tcW w:type="dxa" w:w="792"/>
            <w:vAlign w:val="center"/>
          </w:tcPr>
          <w:p>
            <w:pPr>
              <w:spacing w:before="20" w:after="20" w:line="240" w:lineRule="auto"/>
              <w:jc w:val="center"/>
            </w:pPr>
            <w:r/>
            <w:r>
              <w:rPr>
                <w:rFonts w:ascii="Times New Roman" w:hAnsi="Times New Roman"/>
                <w:b w:val="0"/>
                <w:i w:val="0"/>
                <w:sz w:val="16"/>
                <w:u w:val="none"/>
              </w:rPr>
            </w:r>
          </w:p>
        </w:tc>
      </w:tr>
      <w:tr>
        <w:tc>
          <w:tcPr>
            <w:tcW w:type="dxa" w:w="864"/>
            <w:vAlign w:val="center"/>
          </w:tcPr>
          <w:p>
            <w:pPr>
              <w:spacing w:before="20" w:after="20" w:line="240" w:lineRule="auto"/>
              <w:jc w:val="center"/>
            </w:pPr>
            <w:r/>
            <w:r>
              <w:rPr>
                <w:rFonts w:ascii="Times New Roman" w:hAnsi="Times New Roman"/>
                <w:b w:val="0"/>
                <w:i w:val="0"/>
                <w:sz w:val="16"/>
                <w:u w:val="none"/>
              </w:rPr>
              <w:t>PC3</w:t>
            </w:r>
          </w:p>
        </w:tc>
        <w:tc>
          <w:tcPr>
            <w:tcW w:type="dxa" w:w="936"/>
            <w:vAlign w:val="center"/>
          </w:tcPr>
          <w:p>
            <w:pPr>
              <w:spacing w:before="20" w:after="20" w:line="240" w:lineRule="auto"/>
              <w:jc w:val="center"/>
            </w:pPr>
            <w:r/>
            <w:r>
              <w:rPr>
                <w:rFonts w:ascii="Times New Roman" w:hAnsi="Times New Roman"/>
                <w:b w:val="0"/>
                <w:i w:val="0"/>
                <w:sz w:val="16"/>
                <w:u w:val="none"/>
              </w:rPr>
              <w:t>-0.0272</w:t>
            </w:r>
          </w:p>
        </w:tc>
        <w:tc>
          <w:tcPr>
            <w:tcW w:type="dxa" w:w="1224"/>
            <w:vAlign w:val="center"/>
          </w:tcPr>
          <w:p>
            <w:pPr>
              <w:spacing w:before="20" w:after="20" w:line="240" w:lineRule="auto"/>
              <w:jc w:val="center"/>
            </w:pPr>
            <w:r/>
            <w:r>
              <w:rPr>
                <w:rFonts w:ascii="Times New Roman" w:hAnsi="Times New Roman"/>
                <w:b w:val="0"/>
                <w:i w:val="0"/>
                <w:sz w:val="16"/>
                <w:u w:val="none"/>
              </w:rPr>
              <w:t>0.973</w:t>
            </w:r>
          </w:p>
        </w:tc>
        <w:tc>
          <w:tcPr>
            <w:tcW w:type="dxa" w:w="1008"/>
            <w:vAlign w:val="center"/>
          </w:tcPr>
          <w:p>
            <w:pPr>
              <w:spacing w:before="20" w:after="20" w:line="240" w:lineRule="auto"/>
              <w:jc w:val="center"/>
            </w:pPr>
            <w:r/>
            <w:r>
              <w:rPr>
                <w:rFonts w:ascii="Times New Roman" w:hAnsi="Times New Roman"/>
                <w:b w:val="0"/>
                <w:i w:val="0"/>
                <w:sz w:val="16"/>
                <w:u w:val="none"/>
              </w:rPr>
              <w:t>-2.377</w:t>
            </w:r>
          </w:p>
        </w:tc>
        <w:tc>
          <w:tcPr>
            <w:tcW w:type="dxa" w:w="792"/>
            <w:vAlign w:val="center"/>
          </w:tcPr>
          <w:p>
            <w:pPr>
              <w:spacing w:before="20" w:after="20" w:line="240" w:lineRule="auto"/>
              <w:jc w:val="center"/>
            </w:pPr>
            <w:r/>
            <w:r>
              <w:rPr>
                <w:rFonts w:ascii="Times New Roman" w:hAnsi="Times New Roman"/>
                <w:b w:val="0"/>
                <w:i w:val="0"/>
                <w:sz w:val="16"/>
                <w:u w:val="none"/>
              </w:rPr>
              <w:t>**</w:t>
            </w:r>
          </w:p>
        </w:tc>
      </w:tr>
      <w:tr>
        <w:tc>
          <w:tcPr>
            <w:tcW w:type="dxa" w:w="864"/>
            <w:vAlign w:val="center"/>
          </w:tcPr>
          <w:p>
            <w:pPr>
              <w:spacing w:before="20" w:after="20" w:line="240" w:lineRule="auto"/>
              <w:jc w:val="center"/>
            </w:pPr>
            <w:r/>
            <w:r>
              <w:rPr>
                <w:rFonts w:ascii="Times New Roman" w:hAnsi="Times New Roman"/>
                <w:b w:val="0"/>
                <w:i w:val="0"/>
                <w:sz w:val="16"/>
                <w:u w:val="none"/>
              </w:rPr>
              <w:t>PC4</w:t>
            </w:r>
          </w:p>
        </w:tc>
        <w:tc>
          <w:tcPr>
            <w:tcW w:type="dxa" w:w="936"/>
            <w:vAlign w:val="center"/>
          </w:tcPr>
          <w:p>
            <w:pPr>
              <w:spacing w:before="20" w:after="20" w:line="240" w:lineRule="auto"/>
              <w:jc w:val="center"/>
            </w:pPr>
            <w:r/>
            <w:r>
              <w:rPr>
                <w:rFonts w:ascii="Times New Roman" w:hAnsi="Times New Roman"/>
                <w:b w:val="0"/>
                <w:i w:val="0"/>
                <w:sz w:val="16"/>
                <w:u w:val="none"/>
              </w:rPr>
              <w:t>-0.0031</w:t>
            </w:r>
          </w:p>
        </w:tc>
        <w:tc>
          <w:tcPr>
            <w:tcW w:type="dxa" w:w="1224"/>
            <w:vAlign w:val="center"/>
          </w:tcPr>
          <w:p>
            <w:pPr>
              <w:spacing w:before="20" w:after="20" w:line="240" w:lineRule="auto"/>
              <w:jc w:val="center"/>
            </w:pPr>
            <w:r/>
            <w:r>
              <w:rPr>
                <w:rFonts w:ascii="Times New Roman" w:hAnsi="Times New Roman"/>
                <w:b w:val="0"/>
                <w:i w:val="0"/>
                <w:sz w:val="16"/>
                <w:u w:val="none"/>
              </w:rPr>
              <w:t>0.997</w:t>
            </w:r>
          </w:p>
        </w:tc>
        <w:tc>
          <w:tcPr>
            <w:tcW w:type="dxa" w:w="1008"/>
            <w:vAlign w:val="center"/>
          </w:tcPr>
          <w:p>
            <w:pPr>
              <w:spacing w:before="20" w:after="20" w:line="240" w:lineRule="auto"/>
              <w:jc w:val="center"/>
            </w:pPr>
            <w:r/>
            <w:r>
              <w:rPr>
                <w:rFonts w:ascii="Times New Roman" w:hAnsi="Times New Roman"/>
                <w:b w:val="0"/>
                <w:i w:val="0"/>
                <w:sz w:val="16"/>
                <w:u w:val="none"/>
              </w:rPr>
              <w:t>-0.251</w:t>
            </w:r>
          </w:p>
        </w:tc>
        <w:tc>
          <w:tcPr>
            <w:tcW w:type="dxa" w:w="792"/>
            <w:vAlign w:val="center"/>
          </w:tcPr>
          <w:p>
            <w:pPr>
              <w:spacing w:before="20" w:after="20" w:line="240" w:lineRule="auto"/>
              <w:jc w:val="center"/>
            </w:pPr>
            <w:r/>
            <w:r>
              <w:rPr>
                <w:rFonts w:ascii="Times New Roman" w:hAnsi="Times New Roman"/>
                <w:b w:val="0"/>
                <w:i w:val="0"/>
                <w:sz w:val="16"/>
                <w:u w:val="none"/>
              </w:rPr>
            </w:r>
          </w:p>
        </w:tc>
      </w:tr>
      <w:tr>
        <w:tc>
          <w:tcPr>
            <w:tcW w:type="dxa" w:w="864"/>
            <w:vAlign w:val="center"/>
          </w:tcPr>
          <w:p>
            <w:pPr>
              <w:spacing w:before="20" w:after="20" w:line="240" w:lineRule="auto"/>
              <w:jc w:val="center"/>
            </w:pPr>
            <w:r/>
            <w:r>
              <w:rPr>
                <w:rFonts w:ascii="Times New Roman" w:hAnsi="Times New Roman"/>
                <w:b w:val="0"/>
                <w:i w:val="0"/>
                <w:sz w:val="16"/>
                <w:u w:val="none"/>
              </w:rPr>
              <w:t>PC5</w:t>
            </w:r>
          </w:p>
        </w:tc>
        <w:tc>
          <w:tcPr>
            <w:tcW w:type="dxa" w:w="936"/>
            <w:vAlign w:val="center"/>
          </w:tcPr>
          <w:p>
            <w:pPr>
              <w:spacing w:before="20" w:after="20" w:line="240" w:lineRule="auto"/>
              <w:jc w:val="center"/>
            </w:pPr>
            <w:r/>
            <w:r>
              <w:rPr>
                <w:rFonts w:ascii="Times New Roman" w:hAnsi="Times New Roman"/>
                <w:b w:val="0"/>
                <w:i w:val="0"/>
                <w:sz w:val="16"/>
                <w:u w:val="none"/>
              </w:rPr>
              <w:t xml:space="preserve"> 0.0025</w:t>
            </w:r>
          </w:p>
        </w:tc>
        <w:tc>
          <w:tcPr>
            <w:tcW w:type="dxa" w:w="1224"/>
            <w:vAlign w:val="center"/>
          </w:tcPr>
          <w:p>
            <w:pPr>
              <w:spacing w:before="20" w:after="20" w:line="240" w:lineRule="auto"/>
              <w:jc w:val="center"/>
            </w:pPr>
            <w:r/>
            <w:r>
              <w:rPr>
                <w:rFonts w:ascii="Times New Roman" w:hAnsi="Times New Roman"/>
                <w:b w:val="0"/>
                <w:i w:val="0"/>
                <w:sz w:val="16"/>
                <w:u w:val="none"/>
              </w:rPr>
              <w:t>1.003</w:t>
            </w:r>
          </w:p>
        </w:tc>
        <w:tc>
          <w:tcPr>
            <w:tcW w:type="dxa" w:w="1008"/>
            <w:vAlign w:val="center"/>
          </w:tcPr>
          <w:p>
            <w:pPr>
              <w:spacing w:before="20" w:after="20" w:line="240" w:lineRule="auto"/>
              <w:jc w:val="center"/>
            </w:pPr>
            <w:r/>
            <w:r>
              <w:rPr>
                <w:rFonts w:ascii="Times New Roman" w:hAnsi="Times New Roman"/>
                <w:b w:val="0"/>
                <w:i w:val="0"/>
                <w:sz w:val="16"/>
                <w:u w:val="none"/>
              </w:rPr>
              <w:t xml:space="preserve"> 0.194</w:t>
            </w:r>
          </w:p>
        </w:tc>
        <w:tc>
          <w:tcPr>
            <w:tcW w:type="dxa" w:w="792"/>
            <w:vAlign w:val="center"/>
          </w:tcPr>
          <w:p>
            <w:pPr>
              <w:spacing w:before="20" w:after="20" w:line="240" w:lineRule="auto"/>
              <w:jc w:val="center"/>
            </w:pPr>
            <w:r/>
            <w:r>
              <w:rPr>
                <w:rFonts w:ascii="Times New Roman" w:hAnsi="Times New Roman"/>
                <w:b w:val="0"/>
                <w:i w:val="0"/>
                <w:sz w:val="16"/>
                <w:u w:val="none"/>
              </w:rPr>
            </w:r>
          </w:p>
        </w:tc>
      </w:tr>
      <w:tr>
        <w:tc>
          <w:tcPr>
            <w:tcW w:type="dxa" w:w="864"/>
            <w:vAlign w:val="center"/>
          </w:tcPr>
          <w:p>
            <w:pPr>
              <w:spacing w:before="20" w:after="20" w:line="240" w:lineRule="auto"/>
              <w:jc w:val="center"/>
            </w:pPr>
            <w:r/>
            <w:r>
              <w:rPr>
                <w:rFonts w:ascii="Times New Roman" w:hAnsi="Times New Roman"/>
                <w:b w:val="0"/>
                <w:i w:val="0"/>
                <w:sz w:val="16"/>
                <w:u w:val="none"/>
              </w:rPr>
              <w:t>PC6</w:t>
            </w:r>
          </w:p>
        </w:tc>
        <w:tc>
          <w:tcPr>
            <w:tcW w:type="dxa" w:w="936"/>
            <w:vAlign w:val="center"/>
          </w:tcPr>
          <w:p>
            <w:pPr>
              <w:spacing w:before="20" w:after="20" w:line="240" w:lineRule="auto"/>
              <w:jc w:val="center"/>
            </w:pPr>
            <w:r/>
            <w:r>
              <w:rPr>
                <w:rFonts w:ascii="Times New Roman" w:hAnsi="Times New Roman"/>
                <w:b w:val="0"/>
                <w:i w:val="0"/>
                <w:sz w:val="16"/>
                <w:u w:val="none"/>
              </w:rPr>
              <w:t>-0.0709</w:t>
            </w:r>
          </w:p>
        </w:tc>
        <w:tc>
          <w:tcPr>
            <w:tcW w:type="dxa" w:w="1224"/>
            <w:vAlign w:val="center"/>
          </w:tcPr>
          <w:p>
            <w:pPr>
              <w:spacing w:before="20" w:after="20" w:line="240" w:lineRule="auto"/>
              <w:jc w:val="center"/>
            </w:pPr>
            <w:r/>
            <w:r>
              <w:rPr>
                <w:rFonts w:ascii="Times New Roman" w:hAnsi="Times New Roman"/>
                <w:b w:val="0"/>
                <w:i w:val="0"/>
                <w:sz w:val="16"/>
                <w:u w:val="none"/>
              </w:rPr>
              <w:t>0.932</w:t>
            </w:r>
          </w:p>
        </w:tc>
        <w:tc>
          <w:tcPr>
            <w:tcW w:type="dxa" w:w="1008"/>
            <w:vAlign w:val="center"/>
          </w:tcPr>
          <w:p>
            <w:pPr>
              <w:spacing w:before="20" w:after="20" w:line="240" w:lineRule="auto"/>
              <w:jc w:val="center"/>
            </w:pPr>
            <w:r/>
            <w:r>
              <w:rPr>
                <w:rFonts w:ascii="Times New Roman" w:hAnsi="Times New Roman"/>
                <w:b w:val="0"/>
                <w:i w:val="0"/>
                <w:sz w:val="16"/>
                <w:u w:val="none"/>
              </w:rPr>
              <w:t>-5.114</w:t>
            </w:r>
          </w:p>
        </w:tc>
        <w:tc>
          <w:tcPr>
            <w:tcW w:type="dxa" w:w="792"/>
            <w:vAlign w:val="center"/>
          </w:tcPr>
          <w:p>
            <w:pPr>
              <w:spacing w:before="20" w:after="20" w:line="240" w:lineRule="auto"/>
              <w:jc w:val="center"/>
            </w:pPr>
            <w:r/>
            <w:r>
              <w:rPr>
                <w:rFonts w:ascii="Times New Roman" w:hAnsi="Times New Roman"/>
                <w:b w:val="0"/>
                <w:i w:val="0"/>
                <w:sz w:val="16"/>
                <w:u w:val="none"/>
              </w:rPr>
              <w:t>***</w:t>
            </w:r>
          </w:p>
        </w:tc>
      </w:tr>
      <w:tr>
        <w:tc>
          <w:tcPr>
            <w:tcW w:type="dxa" w:w="864"/>
            <w:vAlign w:val="center"/>
          </w:tcPr>
          <w:p>
            <w:pPr>
              <w:spacing w:before="20" w:after="20" w:line="240" w:lineRule="auto"/>
              <w:jc w:val="center"/>
            </w:pPr>
            <w:r/>
            <w:r>
              <w:rPr>
                <w:rFonts w:ascii="Times New Roman" w:hAnsi="Times New Roman"/>
                <w:b w:val="0"/>
                <w:i w:val="0"/>
                <w:sz w:val="16"/>
                <w:u w:val="none"/>
              </w:rPr>
              <w:t>PC7</w:t>
            </w:r>
          </w:p>
        </w:tc>
        <w:tc>
          <w:tcPr>
            <w:tcW w:type="dxa" w:w="936"/>
            <w:vAlign w:val="center"/>
          </w:tcPr>
          <w:p>
            <w:pPr>
              <w:spacing w:before="20" w:after="20" w:line="240" w:lineRule="auto"/>
              <w:jc w:val="center"/>
            </w:pPr>
            <w:r/>
            <w:r>
              <w:rPr>
                <w:rFonts w:ascii="Times New Roman" w:hAnsi="Times New Roman"/>
                <w:b w:val="0"/>
                <w:i w:val="0"/>
                <w:sz w:val="16"/>
                <w:u w:val="none"/>
              </w:rPr>
              <w:t>-0.0435</w:t>
            </w:r>
          </w:p>
        </w:tc>
        <w:tc>
          <w:tcPr>
            <w:tcW w:type="dxa" w:w="1224"/>
            <w:vAlign w:val="center"/>
          </w:tcPr>
          <w:p>
            <w:pPr>
              <w:spacing w:before="20" w:after="20" w:line="240" w:lineRule="auto"/>
              <w:jc w:val="center"/>
            </w:pPr>
            <w:r/>
            <w:r>
              <w:rPr>
                <w:rFonts w:ascii="Times New Roman" w:hAnsi="Times New Roman"/>
                <w:b w:val="0"/>
                <w:i w:val="0"/>
                <w:sz w:val="16"/>
                <w:u w:val="none"/>
              </w:rPr>
              <w:t>0.957</w:t>
            </w:r>
          </w:p>
        </w:tc>
        <w:tc>
          <w:tcPr>
            <w:tcW w:type="dxa" w:w="1008"/>
            <w:vAlign w:val="center"/>
          </w:tcPr>
          <w:p>
            <w:pPr>
              <w:spacing w:before="20" w:after="20" w:line="240" w:lineRule="auto"/>
              <w:jc w:val="center"/>
            </w:pPr>
            <w:r/>
            <w:r>
              <w:rPr>
                <w:rFonts w:ascii="Times New Roman" w:hAnsi="Times New Roman"/>
                <w:b w:val="0"/>
                <w:i w:val="0"/>
                <w:sz w:val="16"/>
                <w:u w:val="none"/>
              </w:rPr>
              <w:t>-3.015</w:t>
            </w:r>
          </w:p>
        </w:tc>
        <w:tc>
          <w:tcPr>
            <w:tcW w:type="dxa" w:w="792"/>
            <w:vAlign w:val="center"/>
          </w:tcPr>
          <w:p>
            <w:pPr>
              <w:spacing w:before="20" w:after="20" w:line="240" w:lineRule="auto"/>
              <w:jc w:val="center"/>
            </w:pPr>
            <w:r/>
            <w:r>
              <w:rPr>
                <w:rFonts w:ascii="Times New Roman" w:hAnsi="Times New Roman"/>
                <w:b w:val="0"/>
                <w:i w:val="0"/>
                <w:sz w:val="16"/>
                <w:u w:val="none"/>
              </w:rPr>
              <w:t>***</w:t>
            </w:r>
          </w:p>
        </w:tc>
      </w:tr>
      <w:tr>
        <w:tc>
          <w:tcPr>
            <w:tcW w:type="dxa" w:w="864"/>
            <w:vAlign w:val="center"/>
          </w:tcPr>
          <w:p>
            <w:pPr>
              <w:spacing w:before="20" w:after="20" w:line="240" w:lineRule="auto"/>
              <w:jc w:val="center"/>
            </w:pPr>
            <w:r/>
            <w:r>
              <w:rPr>
                <w:rFonts w:ascii="Times New Roman" w:hAnsi="Times New Roman"/>
                <w:b w:val="0"/>
                <w:i w:val="0"/>
                <w:sz w:val="16"/>
                <w:u w:val="none"/>
              </w:rPr>
              <w:t>PC8</w:t>
            </w:r>
          </w:p>
        </w:tc>
        <w:tc>
          <w:tcPr>
            <w:tcW w:type="dxa" w:w="936"/>
            <w:vAlign w:val="center"/>
          </w:tcPr>
          <w:p>
            <w:pPr>
              <w:spacing w:before="20" w:after="20" w:line="240" w:lineRule="auto"/>
              <w:jc w:val="center"/>
            </w:pPr>
            <w:r/>
            <w:r>
              <w:rPr>
                <w:rFonts w:ascii="Times New Roman" w:hAnsi="Times New Roman"/>
                <w:b w:val="0"/>
                <w:i w:val="0"/>
                <w:sz w:val="16"/>
                <w:u w:val="none"/>
              </w:rPr>
              <w:t>-0.0168</w:t>
            </w:r>
          </w:p>
        </w:tc>
        <w:tc>
          <w:tcPr>
            <w:tcW w:type="dxa" w:w="1224"/>
            <w:vAlign w:val="center"/>
          </w:tcPr>
          <w:p>
            <w:pPr>
              <w:spacing w:before="20" w:after="20" w:line="240" w:lineRule="auto"/>
              <w:jc w:val="center"/>
            </w:pPr>
            <w:r/>
            <w:r>
              <w:rPr>
                <w:rFonts w:ascii="Times New Roman" w:hAnsi="Times New Roman"/>
                <w:b w:val="0"/>
                <w:i w:val="0"/>
                <w:sz w:val="16"/>
                <w:u w:val="none"/>
              </w:rPr>
              <w:t>0.983</w:t>
            </w:r>
          </w:p>
        </w:tc>
        <w:tc>
          <w:tcPr>
            <w:tcW w:type="dxa" w:w="1008"/>
            <w:vAlign w:val="center"/>
          </w:tcPr>
          <w:p>
            <w:pPr>
              <w:spacing w:before="20" w:after="20" w:line="240" w:lineRule="auto"/>
              <w:jc w:val="center"/>
            </w:pPr>
            <w:r/>
            <w:r>
              <w:rPr>
                <w:rFonts w:ascii="Times New Roman" w:hAnsi="Times New Roman"/>
                <w:b w:val="0"/>
                <w:i w:val="0"/>
                <w:sz w:val="16"/>
                <w:u w:val="none"/>
              </w:rPr>
              <w:t>-1.152</w:t>
            </w:r>
          </w:p>
        </w:tc>
        <w:tc>
          <w:tcPr>
            <w:tcW w:type="dxa" w:w="792"/>
            <w:vAlign w:val="center"/>
          </w:tcPr>
          <w:p>
            <w:pPr>
              <w:spacing w:before="20" w:after="20" w:line="240" w:lineRule="auto"/>
              <w:jc w:val="center"/>
            </w:pPr>
            <w:r/>
            <w:r>
              <w:rPr>
                <w:rFonts w:ascii="Times New Roman" w:hAnsi="Times New Roman"/>
                <w:b w:val="0"/>
                <w:i w:val="0"/>
                <w:sz w:val="16"/>
                <w:u w:val="none"/>
              </w:rPr>
            </w:r>
          </w:p>
        </w:tc>
      </w:tr>
      <w:tr>
        <w:tc>
          <w:tcPr>
            <w:tcW w:type="dxa" w:w="864"/>
            <w:vAlign w:val="center"/>
          </w:tcPr>
          <w:p>
            <w:pPr>
              <w:spacing w:before="20" w:after="20" w:line="240" w:lineRule="auto"/>
              <w:jc w:val="center"/>
            </w:pPr>
            <w:r/>
            <w:r>
              <w:rPr>
                <w:rFonts w:ascii="Times New Roman" w:hAnsi="Times New Roman"/>
                <w:b w:val="0"/>
                <w:i w:val="0"/>
                <w:sz w:val="16"/>
                <w:u w:val="none"/>
              </w:rPr>
              <w:t>PC9</w:t>
            </w:r>
          </w:p>
        </w:tc>
        <w:tc>
          <w:tcPr>
            <w:tcW w:type="dxa" w:w="936"/>
            <w:vAlign w:val="center"/>
          </w:tcPr>
          <w:p>
            <w:pPr>
              <w:spacing w:before="20" w:after="20" w:line="240" w:lineRule="auto"/>
              <w:jc w:val="center"/>
            </w:pPr>
            <w:r/>
            <w:r>
              <w:rPr>
                <w:rFonts w:ascii="Times New Roman" w:hAnsi="Times New Roman"/>
                <w:b w:val="0"/>
                <w:i w:val="0"/>
                <w:sz w:val="16"/>
                <w:u w:val="none"/>
              </w:rPr>
              <w:t xml:space="preserve"> 0.0111</w:t>
            </w:r>
          </w:p>
        </w:tc>
        <w:tc>
          <w:tcPr>
            <w:tcW w:type="dxa" w:w="1224"/>
            <w:vAlign w:val="center"/>
          </w:tcPr>
          <w:p>
            <w:pPr>
              <w:spacing w:before="20" w:after="20" w:line="240" w:lineRule="auto"/>
              <w:jc w:val="center"/>
            </w:pPr>
            <w:r/>
            <w:r>
              <w:rPr>
                <w:rFonts w:ascii="Times New Roman" w:hAnsi="Times New Roman"/>
                <w:b w:val="0"/>
                <w:i w:val="0"/>
                <w:sz w:val="16"/>
                <w:u w:val="none"/>
              </w:rPr>
              <w:t>1.011</w:t>
            </w:r>
          </w:p>
        </w:tc>
        <w:tc>
          <w:tcPr>
            <w:tcW w:type="dxa" w:w="1008"/>
            <w:vAlign w:val="center"/>
          </w:tcPr>
          <w:p>
            <w:pPr>
              <w:spacing w:before="20" w:after="20" w:line="240" w:lineRule="auto"/>
              <w:jc w:val="center"/>
            </w:pPr>
            <w:r/>
            <w:r>
              <w:rPr>
                <w:rFonts w:ascii="Times New Roman" w:hAnsi="Times New Roman"/>
                <w:b w:val="0"/>
                <w:i w:val="0"/>
                <w:sz w:val="16"/>
                <w:u w:val="none"/>
              </w:rPr>
              <w:t xml:space="preserve"> 0.734</w:t>
            </w:r>
          </w:p>
        </w:tc>
        <w:tc>
          <w:tcPr>
            <w:tcW w:type="dxa" w:w="792"/>
            <w:vAlign w:val="center"/>
          </w:tcPr>
          <w:p>
            <w:pPr>
              <w:spacing w:before="20" w:after="20" w:line="240" w:lineRule="auto"/>
              <w:jc w:val="center"/>
            </w:pPr>
            <w:r/>
            <w:r>
              <w:rPr>
                <w:rFonts w:ascii="Times New Roman" w:hAnsi="Times New Roman"/>
                <w:b w:val="0"/>
                <w:i w:val="0"/>
                <w:sz w:val="16"/>
                <w:u w:val="none"/>
              </w:rPr>
            </w:r>
          </w:p>
        </w:tc>
      </w:tr>
    </w:tbl>
    <w:p>
      <w:pPr>
        <w:spacing w:before="20" w:after="80" w:line="240" w:lineRule="auto"/>
        <w:jc w:val="left"/>
      </w:pPr>
      <w:r>
        <w:rPr>
          <w:rFonts w:ascii="Times New Roman" w:hAnsi="Times New Roman"/>
          <w:b w:val="0"/>
          <w:i/>
          <w:sz w:val="14"/>
          <w:u w:val="none"/>
        </w:rPr>
        <w:t>*** p&lt;0.01;  ** p&lt;0.05</w:t>
      </w:r>
    </w:p>
    <w:p>
      <w:pPr>
        <w:spacing w:before="120" w:after="120" w:line="240" w:lineRule="auto"/>
        <w:jc w:val="left"/>
      </w:pPr>
      <w:r>
        <w:rPr>
          <w:rFonts w:ascii="Times New Roman" w:hAnsi="Times New Roman"/>
          <w:b w:val="0"/>
          <w:i/>
          <w:sz w:val="20"/>
          <w:u w:val="none"/>
        </w:rPr>
        <w:t>D. Confusion Matrix</w:t>
      </w:r>
    </w:p>
    <w:p>
      <w:pPr>
        <w:spacing w:before="0" w:after="0" w:line="240" w:lineRule="auto"/>
        <w:ind w:firstLine="0"/>
        <w:jc w:val="both"/>
      </w:pPr>
      <w:r>
        <w:rPr>
          <w:rFonts w:ascii="Times New Roman" w:hAnsi="Times New Roman"/>
          <w:b w:val="0"/>
          <w:i w:val="0"/>
          <w:sz w:val="20"/>
          <w:u w:val="none"/>
        </w:rPr>
        <w:t>Figure VI presents the confusion matrix for the global model at classification threshold 0.50. The model produces 5,766 true positives (TP), 3,062 true negatives (TN), 5,055 false positives (FP), and 2,706 false negatives (FN), yielding sensitivity of 68.1% and specificity of 37.7%. The high sensitivity relative to low specificity indicates the model is better calibrated to identify outperformers than underperformers, consistent with the balanced class weights applied during training.</w:t>
      </w:r>
    </w:p>
    <w:p>
      <w:pPr>
        <w:spacing w:before="120" w:after="40" w:line="240" w:lineRule="auto"/>
        <w:jc w:val="center"/>
      </w:pPr>
      <w:r>
        <w:drawing>
          <wp:inline xmlns:a="http://schemas.openxmlformats.org/drawingml/2006/main" xmlns:pic="http://schemas.openxmlformats.org/drawingml/2006/picture">
            <wp:extent cx="2926080" cy="2312607"/>
            <wp:docPr id="4" name="Picture 4"/>
            <wp:cNvGraphicFramePr>
              <a:graphicFrameLocks noChangeAspect="1"/>
            </wp:cNvGraphicFramePr>
            <a:graphic>
              <a:graphicData uri="http://schemas.openxmlformats.org/drawingml/2006/picture">
                <pic:pic>
                  <pic:nvPicPr>
                    <pic:cNvPr id="0" name="06_confusion_matrix.png"/>
                    <pic:cNvPicPr/>
                  </pic:nvPicPr>
                  <pic:blipFill>
                    <a:blip r:embed="rId12"/>
                    <a:stretch>
                      <a:fillRect/>
                    </a:stretch>
                  </pic:blipFill>
                  <pic:spPr>
                    <a:xfrm>
                      <a:off x="0" y="0"/>
                      <a:ext cx="2926080" cy="2312607"/>
                    </a:xfrm>
                    <a:prstGeom prst="rect"/>
                  </pic:spPr>
                </pic:pic>
              </a:graphicData>
            </a:graphic>
          </wp:inline>
        </w:drawing>
      </w:r>
    </w:p>
    <w:p>
      <w:pPr>
        <w:spacing w:before="40" w:after="20" w:line="240" w:lineRule="auto"/>
        <w:jc w:val="center"/>
      </w:pPr>
      <w:r>
        <w:rPr>
          <w:rFonts w:ascii="Times New Roman" w:hAnsi="Times New Roman"/>
          <w:b w:val="0"/>
          <w:i w:val="0"/>
          <w:caps/>
          <w:sz w:val="20"/>
          <w:u w:val="none"/>
        </w:rPr>
        <w:t>FIGURE VI</w:t>
      </w:r>
    </w:p>
    <w:p>
      <w:pPr>
        <w:spacing w:before="20" w:after="120" w:line="240" w:lineRule="auto"/>
        <w:jc w:val="center"/>
      </w:pPr>
      <w:r>
        <w:rPr>
          <w:rFonts w:ascii="Times New Roman" w:hAnsi="Times New Roman"/>
          <w:b w:val="0"/>
          <w:i w:val="0"/>
          <w:smallCaps/>
          <w:sz w:val="16"/>
          <w:u w:val="none"/>
        </w:rPr>
        <w:t>Confusion Matrix at Classification Threshold 0.50 (Global Model, 16,589 Training Observations)</w:t>
      </w:r>
    </w:p>
    <w:p>
      <w:pPr>
        <w:spacing w:before="160" w:after="160" w:line="240" w:lineRule="auto"/>
        <w:jc w:val="center"/>
      </w:pPr>
      <w:r>
        <w:rPr>
          <w:rFonts w:ascii="Times New Roman" w:hAnsi="Times New Roman"/>
          <w:b/>
          <w:i w:val="0"/>
          <w:smallCaps/>
          <w:sz w:val="20"/>
          <w:u w:val="none"/>
        </w:rPr>
        <w:t>VII. Results &amp; Interpretation</w:t>
      </w:r>
    </w:p>
    <w:p>
      <w:pPr>
        <w:spacing w:before="120" w:after="120" w:line="240" w:lineRule="auto"/>
        <w:jc w:val="left"/>
      </w:pPr>
      <w:r>
        <w:rPr>
          <w:rFonts w:ascii="Times New Roman" w:hAnsi="Times New Roman"/>
          <w:b w:val="0"/>
          <w:i/>
          <w:sz w:val="20"/>
          <w:u w:val="none"/>
        </w:rPr>
        <w:t>A. Global Model Performance</w:t>
      </w:r>
    </w:p>
    <w:p>
      <w:pPr>
        <w:spacing w:before="0" w:after="0" w:line="240" w:lineRule="auto"/>
        <w:ind w:firstLine="0"/>
        <w:jc w:val="both"/>
      </w:pPr>
      <w:r>
        <w:rPr>
          <w:rFonts w:ascii="Times New Roman" w:hAnsi="Times New Roman"/>
          <w:b w:val="0"/>
          <w:i w:val="0"/>
          <w:sz w:val="20"/>
          <w:u w:val="none"/>
        </w:rPr>
        <w:t>The global logistic regression model achieves 53.2% overall accuracy and AUC of 0.5381. Table IV compares logistic regression to the Gradient Boosting benchmark and the Ananthakumar &amp; Sarkar (2017) paper benchmark. Figure I presents the ROC curves for both models alongside the random baseline diagonal.</w:t>
      </w:r>
    </w:p>
    <w:p>
      <w:pPr>
        <w:spacing w:before="120" w:after="40" w:line="240" w:lineRule="auto"/>
        <w:jc w:val="center"/>
      </w:pPr>
      <w:r>
        <w:drawing>
          <wp:inline xmlns:a="http://schemas.openxmlformats.org/drawingml/2006/main" xmlns:pic="http://schemas.openxmlformats.org/drawingml/2006/picture">
            <wp:extent cx="2926080" cy="2259378"/>
            <wp:docPr id="5" name="Picture 5"/>
            <wp:cNvGraphicFramePr>
              <a:graphicFrameLocks noChangeAspect="1"/>
            </wp:cNvGraphicFramePr>
            <a:graphic>
              <a:graphicData uri="http://schemas.openxmlformats.org/drawingml/2006/picture">
                <pic:pic>
                  <pic:nvPicPr>
                    <pic:cNvPr id="0" name="01_roc_curve.png"/>
                    <pic:cNvPicPr/>
                  </pic:nvPicPr>
                  <pic:blipFill>
                    <a:blip r:embed="rId13"/>
                    <a:stretch>
                      <a:fillRect/>
                    </a:stretch>
                  </pic:blipFill>
                  <pic:spPr>
                    <a:xfrm>
                      <a:off x="0" y="0"/>
                      <a:ext cx="2926080" cy="2259378"/>
                    </a:xfrm>
                    <a:prstGeom prst="rect"/>
                  </pic:spPr>
                </pic:pic>
              </a:graphicData>
            </a:graphic>
          </wp:inline>
        </w:drawing>
      </w:r>
    </w:p>
    <w:p>
      <w:pPr>
        <w:spacing w:before="40" w:after="20" w:line="240" w:lineRule="auto"/>
        <w:jc w:val="center"/>
      </w:pPr>
      <w:r>
        <w:rPr>
          <w:rFonts w:ascii="Times New Roman" w:hAnsi="Times New Roman"/>
          <w:b w:val="0"/>
          <w:i w:val="0"/>
          <w:caps/>
          <w:sz w:val="20"/>
          <w:u w:val="none"/>
        </w:rPr>
        <w:t>FIGURE I</w:t>
      </w:r>
    </w:p>
    <w:p>
      <w:pPr>
        <w:spacing w:before="20" w:after="120" w:line="240" w:lineRule="auto"/>
        <w:jc w:val="center"/>
      </w:pPr>
      <w:r>
        <w:rPr>
          <w:rFonts w:ascii="Times New Roman" w:hAnsi="Times New Roman"/>
          <w:b w:val="0"/>
          <w:i w:val="0"/>
          <w:smallCaps/>
          <w:sz w:val="16"/>
          <w:u w:val="none"/>
        </w:rPr>
        <w:t>ROC Curves for Logistic Regression (AUC=0.5381) and Gradient Boosting (AUC=0.6589). Gold Dot Marks the Chosen Classification Threshold (0.50).</w:t>
      </w:r>
    </w:p>
    <w:p>
      <w:pPr>
        <w:spacing w:before="120" w:after="20" w:line="240" w:lineRule="auto"/>
        <w:jc w:val="center"/>
      </w:pPr>
      <w:r>
        <w:rPr>
          <w:rFonts w:ascii="Times New Roman" w:hAnsi="Times New Roman"/>
          <w:b w:val="0"/>
          <w:i w:val="0"/>
          <w:caps/>
          <w:sz w:val="20"/>
          <w:u w:val="none"/>
        </w:rPr>
        <w:t>TABLE IV</w:t>
      </w:r>
    </w:p>
    <w:p>
      <w:pPr>
        <w:spacing w:before="20" w:after="60" w:line="240" w:lineRule="auto"/>
        <w:jc w:val="center"/>
      </w:pPr>
      <w:r>
        <w:rPr>
          <w:rFonts w:ascii="Times New Roman" w:hAnsi="Times New Roman"/>
          <w:b w:val="0"/>
          <w:i w:val="0"/>
          <w:smallCaps/>
          <w:sz w:val="16"/>
          <w:u w:val="none"/>
        </w:rPr>
        <w:t>Global Model Comparison: Logistic Regression vs. Gradient Boosting</w:t>
      </w:r>
    </w:p>
    <w:tbl>
      <w:tblPr>
        <w:tblStyle w:val="TableGrid"/>
        <w:tblW w:type="auto" w:w="0"/>
        <w:jc w:val="center"/>
        <w:tblLook w:firstColumn="1" w:firstRow="1" w:lastColumn="0" w:lastRow="0" w:noHBand="0" w:noVBand="1" w:val="04A0"/>
      </w:tblPr>
      <w:tblGrid>
        <w:gridCol w:w="3360"/>
        <w:gridCol w:w="3360"/>
        <w:gridCol w:w="3360"/>
      </w:tblGrid>
      <w:tr>
        <w:tc>
          <w:tcPr>
            <w:tcW w:type="dxa" w:w="3024"/>
            <w:vAlign w:val="center"/>
          </w:tcPr>
          <w:p>
            <w:pPr>
              <w:spacing w:before="20" w:after="20" w:line="240" w:lineRule="auto"/>
              <w:jc w:val="center"/>
            </w:pPr>
            <w:r/>
            <w:r>
              <w:rPr>
                <w:rFonts w:ascii="Times New Roman" w:hAnsi="Times New Roman"/>
                <w:b/>
                <w:i w:val="0"/>
                <w:sz w:val="16"/>
                <w:u w:val="none"/>
              </w:rPr>
              <w:t>Model</w:t>
            </w:r>
          </w:p>
        </w:tc>
        <w:tc>
          <w:tcPr>
            <w:tcW w:type="dxa" w:w="1296"/>
            <w:vAlign w:val="center"/>
          </w:tcPr>
          <w:p>
            <w:pPr>
              <w:spacing w:before="20" w:after="20" w:line="240" w:lineRule="auto"/>
              <w:jc w:val="center"/>
            </w:pPr>
            <w:r/>
            <w:r>
              <w:rPr>
                <w:rFonts w:ascii="Times New Roman" w:hAnsi="Times New Roman"/>
                <w:b/>
                <w:i w:val="0"/>
                <w:sz w:val="16"/>
                <w:u w:val="none"/>
              </w:rPr>
              <w:t>Accuracy</w:t>
            </w:r>
          </w:p>
        </w:tc>
        <w:tc>
          <w:tcPr>
            <w:tcW w:type="dxa" w:w="1152"/>
            <w:vAlign w:val="center"/>
          </w:tcPr>
          <w:p>
            <w:pPr>
              <w:spacing w:before="20" w:after="20" w:line="240" w:lineRule="auto"/>
              <w:jc w:val="center"/>
            </w:pPr>
            <w:r/>
            <w:r>
              <w:rPr>
                <w:rFonts w:ascii="Times New Roman" w:hAnsi="Times New Roman"/>
                <w:b/>
                <w:i w:val="0"/>
                <w:sz w:val="16"/>
                <w:u w:val="none"/>
              </w:rPr>
              <w:t>AUC</w:t>
            </w:r>
          </w:p>
        </w:tc>
      </w:tr>
      <w:tr>
        <w:tc>
          <w:tcPr>
            <w:tcW w:type="dxa" w:w="3024"/>
            <w:vAlign w:val="center"/>
          </w:tcPr>
          <w:p>
            <w:pPr>
              <w:spacing w:before="20" w:after="20" w:line="240" w:lineRule="auto"/>
              <w:jc w:val="center"/>
            </w:pPr>
            <w:r/>
            <w:r>
              <w:rPr>
                <w:rFonts w:ascii="Times New Roman" w:hAnsi="Times New Roman"/>
                <w:b w:val="0"/>
                <w:i w:val="0"/>
                <w:sz w:val="16"/>
                <w:u w:val="none"/>
              </w:rPr>
              <w:t>Logistic Regression (primary)</w:t>
            </w:r>
          </w:p>
        </w:tc>
        <w:tc>
          <w:tcPr>
            <w:tcW w:type="dxa" w:w="1296"/>
            <w:vAlign w:val="center"/>
          </w:tcPr>
          <w:p>
            <w:pPr>
              <w:spacing w:before="20" w:after="20" w:line="240" w:lineRule="auto"/>
              <w:jc w:val="center"/>
            </w:pPr>
            <w:r/>
            <w:r>
              <w:rPr>
                <w:rFonts w:ascii="Times New Roman" w:hAnsi="Times New Roman"/>
                <w:b w:val="0"/>
                <w:i w:val="0"/>
                <w:sz w:val="16"/>
                <w:u w:val="none"/>
              </w:rPr>
              <w:t>53.2%</w:t>
            </w:r>
          </w:p>
        </w:tc>
        <w:tc>
          <w:tcPr>
            <w:tcW w:type="dxa" w:w="1152"/>
            <w:vAlign w:val="center"/>
          </w:tcPr>
          <w:p>
            <w:pPr>
              <w:spacing w:before="20" w:after="20" w:line="240" w:lineRule="auto"/>
              <w:jc w:val="center"/>
            </w:pPr>
            <w:r/>
            <w:r>
              <w:rPr>
                <w:rFonts w:ascii="Times New Roman" w:hAnsi="Times New Roman"/>
                <w:b w:val="0"/>
                <w:i w:val="0"/>
                <w:sz w:val="16"/>
                <w:u w:val="none"/>
              </w:rPr>
              <w:t>0.5381</w:t>
            </w:r>
          </w:p>
        </w:tc>
      </w:tr>
      <w:tr>
        <w:tc>
          <w:tcPr>
            <w:tcW w:type="dxa" w:w="3024"/>
            <w:vAlign w:val="center"/>
          </w:tcPr>
          <w:p>
            <w:pPr>
              <w:spacing w:before="20" w:after="20" w:line="240" w:lineRule="auto"/>
              <w:jc w:val="center"/>
            </w:pPr>
            <w:r/>
            <w:r>
              <w:rPr>
                <w:rFonts w:ascii="Times New Roman" w:hAnsi="Times New Roman"/>
                <w:b w:val="0"/>
                <w:i w:val="0"/>
                <w:sz w:val="16"/>
                <w:u w:val="none"/>
              </w:rPr>
              <w:t>Gradient Boosting (benchmark)</w:t>
            </w:r>
          </w:p>
        </w:tc>
        <w:tc>
          <w:tcPr>
            <w:tcW w:type="dxa" w:w="1296"/>
            <w:vAlign w:val="center"/>
          </w:tcPr>
          <w:p>
            <w:pPr>
              <w:spacing w:before="20" w:after="20" w:line="240" w:lineRule="auto"/>
              <w:jc w:val="center"/>
            </w:pPr>
            <w:r/>
            <w:r>
              <w:rPr>
                <w:rFonts w:ascii="Times New Roman" w:hAnsi="Times New Roman"/>
                <w:b w:val="0"/>
                <w:i w:val="0"/>
                <w:sz w:val="16"/>
                <w:u w:val="none"/>
              </w:rPr>
              <w:t>55.4%</w:t>
            </w:r>
          </w:p>
        </w:tc>
        <w:tc>
          <w:tcPr>
            <w:tcW w:type="dxa" w:w="1152"/>
            <w:vAlign w:val="center"/>
          </w:tcPr>
          <w:p>
            <w:pPr>
              <w:spacing w:before="20" w:after="20" w:line="240" w:lineRule="auto"/>
              <w:jc w:val="center"/>
            </w:pPr>
            <w:r/>
            <w:r>
              <w:rPr>
                <w:rFonts w:ascii="Times New Roman" w:hAnsi="Times New Roman"/>
                <w:b w:val="0"/>
                <w:i w:val="0"/>
                <w:sz w:val="16"/>
                <w:u w:val="none"/>
              </w:rPr>
              <w:t>0.6589</w:t>
            </w:r>
          </w:p>
        </w:tc>
      </w:tr>
      <w:tr>
        <w:tc>
          <w:tcPr>
            <w:tcW w:type="dxa" w:w="3024"/>
            <w:vAlign w:val="center"/>
          </w:tcPr>
          <w:p>
            <w:pPr>
              <w:spacing w:before="20" w:after="20" w:line="240" w:lineRule="auto"/>
              <w:jc w:val="center"/>
            </w:pPr>
            <w:r/>
            <w:r>
              <w:rPr>
                <w:rFonts w:ascii="Times New Roman" w:hAnsi="Times New Roman"/>
                <w:b w:val="0"/>
                <w:i w:val="0"/>
                <w:sz w:val="16"/>
                <w:u w:val="none"/>
              </w:rPr>
              <w:t>Ananthakumar &amp; Sarkar (2017)</w:t>
            </w:r>
          </w:p>
        </w:tc>
        <w:tc>
          <w:tcPr>
            <w:tcW w:type="dxa" w:w="1296"/>
            <w:vAlign w:val="center"/>
          </w:tcPr>
          <w:p>
            <w:pPr>
              <w:spacing w:before="20" w:after="20" w:line="240" w:lineRule="auto"/>
              <w:jc w:val="center"/>
            </w:pPr>
            <w:r/>
            <w:r>
              <w:rPr>
                <w:rFonts w:ascii="Times New Roman" w:hAnsi="Times New Roman"/>
                <w:b w:val="0"/>
                <w:i w:val="0"/>
                <w:sz w:val="16"/>
                <w:u w:val="none"/>
              </w:rPr>
              <w:t>71.2%</w:t>
            </w:r>
          </w:p>
        </w:tc>
        <w:tc>
          <w:tcPr>
            <w:tcW w:type="dxa" w:w="1152"/>
            <w:vAlign w:val="center"/>
          </w:tcPr>
          <w:p>
            <w:pPr>
              <w:spacing w:before="20" w:after="20" w:line="240" w:lineRule="auto"/>
              <w:jc w:val="center"/>
            </w:pPr>
            <w:r/>
            <w:r>
              <w:rPr>
                <w:rFonts w:ascii="Times New Roman" w:hAnsi="Times New Roman"/>
                <w:b w:val="0"/>
                <w:i w:val="0"/>
                <w:sz w:val="16"/>
                <w:u w:val="none"/>
              </w:rPr>
              <w:t>—</w:t>
            </w:r>
          </w:p>
        </w:tc>
      </w:tr>
    </w:tbl>
    <w:p>
      <w:pPr>
        <w:spacing w:before="0" w:after="0" w:line="240" w:lineRule="auto"/>
        <w:jc w:val="both"/>
      </w:pPr>
      <w:r>
        <w:rPr>
          <w:rFonts w:ascii="Times New Roman" w:hAnsi="Times New Roman"/>
          <w:b w:val="0"/>
          <w:i w:val="0"/>
          <w:sz w:val="20"/>
          <w:u w:val="none"/>
        </w:rPr>
      </w:r>
    </w:p>
    <w:p>
      <w:pPr>
        <w:spacing w:before="0" w:after="0" w:line="240" w:lineRule="auto"/>
        <w:ind w:firstLine="360"/>
        <w:jc w:val="both"/>
      </w:pPr>
      <w:r>
        <w:rPr>
          <w:rFonts w:ascii="Times New Roman" w:hAnsi="Times New Roman"/>
          <w:b w:val="0"/>
          <w:i w:val="0"/>
          <w:sz w:val="20"/>
          <w:u w:val="none"/>
        </w:rPr>
        <w:t>The 12.1 percentage-point AUC gap between logistic regression and Gradient Boosting confirms significant non-linear interaction effects among financial ratios. The gap between either model and the 71.2% benchmark is attributable to the stricter 5% per-component PCA threshold, which retains fewer components than a cumulative 80% rule would, and to the 15-year training window that spans multiple market regimes with conflicting ratio-return relationships.</w:t>
      </w:r>
    </w:p>
    <w:p>
      <w:pPr>
        <w:spacing w:before="120" w:after="120" w:line="240" w:lineRule="auto"/>
        <w:jc w:val="left"/>
      </w:pPr>
      <w:r>
        <w:rPr>
          <w:rFonts w:ascii="Times New Roman" w:hAnsi="Times New Roman"/>
          <w:b w:val="0"/>
          <w:i/>
          <w:sz w:val="20"/>
          <w:u w:val="none"/>
        </w:rPr>
        <w:t>B. Segmentation Results</w:t>
      </w:r>
    </w:p>
    <w:p>
      <w:pPr>
        <w:spacing w:before="0" w:after="0" w:line="240" w:lineRule="auto"/>
        <w:ind w:firstLine="0"/>
        <w:jc w:val="both"/>
      </w:pPr>
      <w:r>
        <w:rPr>
          <w:rFonts w:ascii="Times New Roman" w:hAnsi="Times New Roman"/>
          <w:b w:val="0"/>
          <w:i w:val="0"/>
          <w:sz w:val="20"/>
          <w:u w:val="none"/>
        </w:rPr>
        <w:t>Figure IV and Table V present accuracy and AUC across all 11 GICS sectors. Sector-specific models consistently outperform the global pooled model (53.2%), confirming that financial ratios carry different predictive content across industries. Energy (61.7%), Communication Services (59.5%), and Real Estate (59.5%) are the strongest-performing sectors.</w:t>
      </w:r>
    </w:p>
    <w:p>
      <w:pPr>
        <w:spacing w:before="120" w:after="40" w:line="240" w:lineRule="auto"/>
        <w:jc w:val="center"/>
      </w:pPr>
      <w:r>
        <w:drawing>
          <wp:inline xmlns:a="http://schemas.openxmlformats.org/drawingml/2006/main" xmlns:pic="http://schemas.openxmlformats.org/drawingml/2006/picture">
            <wp:extent cx="2926080" cy="1471759"/>
            <wp:docPr id="6" name="Picture 6"/>
            <wp:cNvGraphicFramePr>
              <a:graphicFrameLocks noChangeAspect="1"/>
            </wp:cNvGraphicFramePr>
            <a:graphic>
              <a:graphicData uri="http://schemas.openxmlformats.org/drawingml/2006/picture">
                <pic:pic>
                  <pic:nvPicPr>
                    <pic:cNvPr id="0" name="04_sector_results.png"/>
                    <pic:cNvPicPr/>
                  </pic:nvPicPr>
                  <pic:blipFill>
                    <a:blip r:embed="rId14"/>
                    <a:stretch>
                      <a:fillRect/>
                    </a:stretch>
                  </pic:blipFill>
                  <pic:spPr>
                    <a:xfrm>
                      <a:off x="0" y="0"/>
                      <a:ext cx="2926080" cy="1471759"/>
                    </a:xfrm>
                    <a:prstGeom prst="rect"/>
                  </pic:spPr>
                </pic:pic>
              </a:graphicData>
            </a:graphic>
          </wp:inline>
        </w:drawing>
      </w:r>
    </w:p>
    <w:p>
      <w:pPr>
        <w:spacing w:before="40" w:after="20" w:line="240" w:lineRule="auto"/>
        <w:jc w:val="center"/>
      </w:pPr>
      <w:r>
        <w:rPr>
          <w:rFonts w:ascii="Times New Roman" w:hAnsi="Times New Roman"/>
          <w:b w:val="0"/>
          <w:i w:val="0"/>
          <w:caps/>
          <w:sz w:val="20"/>
          <w:u w:val="none"/>
        </w:rPr>
        <w:t>FIGURE IV</w:t>
      </w:r>
    </w:p>
    <w:p>
      <w:pPr>
        <w:spacing w:before="20" w:after="120" w:line="240" w:lineRule="auto"/>
        <w:jc w:val="center"/>
      </w:pPr>
      <w:r>
        <w:rPr>
          <w:rFonts w:ascii="Times New Roman" w:hAnsi="Times New Roman"/>
          <w:b w:val="0"/>
          <w:i w:val="0"/>
          <w:smallCaps/>
          <w:sz w:val="16"/>
          <w:u w:val="none"/>
        </w:rPr>
        <w:t>Test Accuracy and AUC by GICS Sector. Dashed Lines Mark the Global Baseline (Accuracy 53.2%, AUC 0.5381).</w:t>
      </w:r>
    </w:p>
    <w:p>
      <w:pPr>
        <w:spacing w:before="120" w:after="20" w:line="240" w:lineRule="auto"/>
        <w:jc w:val="center"/>
      </w:pPr>
      <w:r>
        <w:rPr>
          <w:rFonts w:ascii="Times New Roman" w:hAnsi="Times New Roman"/>
          <w:b w:val="0"/>
          <w:i w:val="0"/>
          <w:caps/>
          <w:sz w:val="20"/>
          <w:u w:val="none"/>
        </w:rPr>
        <w:t>TABLE V</w:t>
      </w:r>
    </w:p>
    <w:p>
      <w:pPr>
        <w:spacing w:before="20" w:after="60" w:line="240" w:lineRule="auto"/>
        <w:jc w:val="center"/>
      </w:pPr>
      <w:r>
        <w:rPr>
          <w:rFonts w:ascii="Times New Roman" w:hAnsi="Times New Roman"/>
          <w:b w:val="0"/>
          <w:i w:val="0"/>
          <w:smallCaps/>
          <w:sz w:val="16"/>
          <w:u w:val="none"/>
        </w:rPr>
        <w:t>Logistic Regression Results by GICS Sector</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tcPr>
          <w:p>
            <w:pPr>
              <w:spacing w:before="20" w:after="20" w:line="240" w:lineRule="auto"/>
              <w:jc w:val="center"/>
            </w:pPr>
            <w:r/>
            <w:r>
              <w:rPr>
                <w:rFonts w:ascii="Times New Roman" w:hAnsi="Times New Roman"/>
                <w:b/>
                <w:i w:val="0"/>
                <w:sz w:val="16"/>
                <w:u w:val="none"/>
              </w:rPr>
              <w:t>Sector</w:t>
            </w:r>
          </w:p>
        </w:tc>
        <w:tc>
          <w:tcPr>
            <w:tcW w:type="dxa" w:w="1368"/>
            <w:vAlign w:val="center"/>
          </w:tcPr>
          <w:p>
            <w:pPr>
              <w:spacing w:before="20" w:after="20" w:line="240" w:lineRule="auto"/>
              <w:jc w:val="center"/>
            </w:pPr>
            <w:r/>
            <w:r>
              <w:rPr>
                <w:rFonts w:ascii="Times New Roman" w:hAnsi="Times New Roman"/>
                <w:b/>
                <w:i w:val="0"/>
                <w:sz w:val="16"/>
                <w:u w:val="none"/>
              </w:rPr>
              <w:t>Accuracy</w:t>
            </w:r>
          </w:p>
        </w:tc>
        <w:tc>
          <w:tcPr>
            <w:tcW w:type="dxa" w:w="1224"/>
            <w:vAlign w:val="center"/>
          </w:tcPr>
          <w:p>
            <w:pPr>
              <w:spacing w:before="20" w:after="20" w:line="240" w:lineRule="auto"/>
              <w:jc w:val="center"/>
            </w:pPr>
            <w:r/>
            <w:r>
              <w:rPr>
                <w:rFonts w:ascii="Times New Roman" w:hAnsi="Times New Roman"/>
                <w:b/>
                <w:i w:val="0"/>
                <w:sz w:val="16"/>
                <w:u w:val="none"/>
              </w:rPr>
              <w:t>AUC</w:t>
            </w:r>
          </w:p>
        </w:tc>
      </w:tr>
      <w:tr>
        <w:tc>
          <w:tcPr>
            <w:tcW w:type="dxa" w:w="2880"/>
            <w:vAlign w:val="center"/>
          </w:tcPr>
          <w:p>
            <w:pPr>
              <w:spacing w:before="20" w:after="20" w:line="240" w:lineRule="auto"/>
              <w:jc w:val="center"/>
            </w:pPr>
            <w:r/>
            <w:r>
              <w:rPr>
                <w:rFonts w:ascii="Times New Roman" w:hAnsi="Times New Roman"/>
                <w:b w:val="0"/>
                <w:i w:val="0"/>
                <w:sz w:val="16"/>
                <w:u w:val="none"/>
              </w:rPr>
              <w:t>Energy</w:t>
            </w:r>
          </w:p>
        </w:tc>
        <w:tc>
          <w:tcPr>
            <w:tcW w:type="dxa" w:w="1368"/>
            <w:vAlign w:val="center"/>
          </w:tcPr>
          <w:p>
            <w:pPr>
              <w:spacing w:before="20" w:after="20" w:line="240" w:lineRule="auto"/>
              <w:jc w:val="center"/>
            </w:pPr>
            <w:r/>
            <w:r>
              <w:rPr>
                <w:rFonts w:ascii="Times New Roman" w:hAnsi="Times New Roman"/>
                <w:b w:val="0"/>
                <w:i w:val="0"/>
                <w:sz w:val="16"/>
                <w:u w:val="none"/>
              </w:rPr>
              <w:t>61.7%</w:t>
            </w:r>
          </w:p>
        </w:tc>
        <w:tc>
          <w:tcPr>
            <w:tcW w:type="dxa" w:w="1224"/>
            <w:vAlign w:val="center"/>
          </w:tcPr>
          <w:p>
            <w:pPr>
              <w:spacing w:before="20" w:after="20" w:line="240" w:lineRule="auto"/>
              <w:jc w:val="center"/>
            </w:pPr>
            <w:r/>
            <w:r>
              <w:rPr>
                <w:rFonts w:ascii="Times New Roman" w:hAnsi="Times New Roman"/>
                <w:b w:val="0"/>
                <w:i w:val="0"/>
                <w:sz w:val="16"/>
                <w:u w:val="none"/>
              </w:rPr>
              <w:t>0.6036</w:t>
            </w:r>
          </w:p>
        </w:tc>
      </w:tr>
      <w:tr>
        <w:tc>
          <w:tcPr>
            <w:tcW w:type="dxa" w:w="2880"/>
            <w:vAlign w:val="center"/>
          </w:tcPr>
          <w:p>
            <w:pPr>
              <w:spacing w:before="20" w:after="20" w:line="240" w:lineRule="auto"/>
              <w:jc w:val="center"/>
            </w:pPr>
            <w:r/>
            <w:r>
              <w:rPr>
                <w:rFonts w:ascii="Times New Roman" w:hAnsi="Times New Roman"/>
                <w:b w:val="0"/>
                <w:i w:val="0"/>
                <w:sz w:val="16"/>
                <w:u w:val="none"/>
              </w:rPr>
              <w:t>Communication Services</w:t>
            </w:r>
          </w:p>
        </w:tc>
        <w:tc>
          <w:tcPr>
            <w:tcW w:type="dxa" w:w="1368"/>
            <w:vAlign w:val="center"/>
          </w:tcPr>
          <w:p>
            <w:pPr>
              <w:spacing w:before="20" w:after="20" w:line="240" w:lineRule="auto"/>
              <w:jc w:val="center"/>
            </w:pPr>
            <w:r/>
            <w:r>
              <w:rPr>
                <w:rFonts w:ascii="Times New Roman" w:hAnsi="Times New Roman"/>
                <w:b w:val="0"/>
                <w:i w:val="0"/>
                <w:sz w:val="16"/>
                <w:u w:val="none"/>
              </w:rPr>
              <w:t>59.5%</w:t>
            </w:r>
          </w:p>
        </w:tc>
        <w:tc>
          <w:tcPr>
            <w:tcW w:type="dxa" w:w="1224"/>
            <w:vAlign w:val="center"/>
          </w:tcPr>
          <w:p>
            <w:pPr>
              <w:spacing w:before="20" w:after="20" w:line="240" w:lineRule="auto"/>
              <w:jc w:val="center"/>
            </w:pPr>
            <w:r/>
            <w:r>
              <w:rPr>
                <w:rFonts w:ascii="Times New Roman" w:hAnsi="Times New Roman"/>
                <w:b w:val="0"/>
                <w:i w:val="0"/>
                <w:sz w:val="16"/>
                <w:u w:val="none"/>
              </w:rPr>
              <w:t>0.6059</w:t>
            </w:r>
          </w:p>
        </w:tc>
      </w:tr>
      <w:tr>
        <w:tc>
          <w:tcPr>
            <w:tcW w:type="dxa" w:w="2880"/>
            <w:vAlign w:val="center"/>
          </w:tcPr>
          <w:p>
            <w:pPr>
              <w:spacing w:before="20" w:after="20" w:line="240" w:lineRule="auto"/>
              <w:jc w:val="center"/>
            </w:pPr>
            <w:r/>
            <w:r>
              <w:rPr>
                <w:rFonts w:ascii="Times New Roman" w:hAnsi="Times New Roman"/>
                <w:b w:val="0"/>
                <w:i w:val="0"/>
                <w:sz w:val="16"/>
                <w:u w:val="none"/>
              </w:rPr>
              <w:t>Real Estate</w:t>
            </w:r>
          </w:p>
        </w:tc>
        <w:tc>
          <w:tcPr>
            <w:tcW w:type="dxa" w:w="1368"/>
            <w:vAlign w:val="center"/>
          </w:tcPr>
          <w:p>
            <w:pPr>
              <w:spacing w:before="20" w:after="20" w:line="240" w:lineRule="auto"/>
              <w:jc w:val="center"/>
            </w:pPr>
            <w:r/>
            <w:r>
              <w:rPr>
                <w:rFonts w:ascii="Times New Roman" w:hAnsi="Times New Roman"/>
                <w:b w:val="0"/>
                <w:i w:val="0"/>
                <w:sz w:val="16"/>
                <w:u w:val="none"/>
              </w:rPr>
              <w:t>59.5%</w:t>
            </w:r>
          </w:p>
        </w:tc>
        <w:tc>
          <w:tcPr>
            <w:tcW w:type="dxa" w:w="1224"/>
            <w:vAlign w:val="center"/>
          </w:tcPr>
          <w:p>
            <w:pPr>
              <w:spacing w:before="20" w:after="20" w:line="240" w:lineRule="auto"/>
              <w:jc w:val="center"/>
            </w:pPr>
            <w:r/>
            <w:r>
              <w:rPr>
                <w:rFonts w:ascii="Times New Roman" w:hAnsi="Times New Roman"/>
                <w:b w:val="0"/>
                <w:i w:val="0"/>
                <w:sz w:val="16"/>
                <w:u w:val="none"/>
              </w:rPr>
              <w:t>0.6010</w:t>
            </w:r>
          </w:p>
        </w:tc>
      </w:tr>
      <w:tr>
        <w:tc>
          <w:tcPr>
            <w:tcW w:type="dxa" w:w="2880"/>
            <w:vAlign w:val="center"/>
          </w:tcPr>
          <w:p>
            <w:pPr>
              <w:spacing w:before="20" w:after="20" w:line="240" w:lineRule="auto"/>
              <w:jc w:val="center"/>
            </w:pPr>
            <w:r/>
            <w:r>
              <w:rPr>
                <w:rFonts w:ascii="Times New Roman" w:hAnsi="Times New Roman"/>
                <w:b w:val="0"/>
                <w:i w:val="0"/>
                <w:sz w:val="16"/>
                <w:u w:val="none"/>
              </w:rPr>
              <w:t>Consumer Staples</w:t>
            </w:r>
          </w:p>
        </w:tc>
        <w:tc>
          <w:tcPr>
            <w:tcW w:type="dxa" w:w="1368"/>
            <w:vAlign w:val="center"/>
          </w:tcPr>
          <w:p>
            <w:pPr>
              <w:spacing w:before="20" w:after="20" w:line="240" w:lineRule="auto"/>
              <w:jc w:val="center"/>
            </w:pPr>
            <w:r/>
            <w:r>
              <w:rPr>
                <w:rFonts w:ascii="Times New Roman" w:hAnsi="Times New Roman"/>
                <w:b w:val="0"/>
                <w:i w:val="0"/>
                <w:sz w:val="16"/>
                <w:u w:val="none"/>
              </w:rPr>
              <w:t>55.7%</w:t>
            </w:r>
          </w:p>
        </w:tc>
        <w:tc>
          <w:tcPr>
            <w:tcW w:type="dxa" w:w="1224"/>
            <w:vAlign w:val="center"/>
          </w:tcPr>
          <w:p>
            <w:pPr>
              <w:spacing w:before="20" w:after="20" w:line="240" w:lineRule="auto"/>
              <w:jc w:val="center"/>
            </w:pPr>
            <w:r/>
            <w:r>
              <w:rPr>
                <w:rFonts w:ascii="Times New Roman" w:hAnsi="Times New Roman"/>
                <w:b w:val="0"/>
                <w:i w:val="0"/>
                <w:sz w:val="16"/>
                <w:u w:val="none"/>
              </w:rPr>
              <w:t>0.5510</w:t>
            </w:r>
          </w:p>
        </w:tc>
      </w:tr>
      <w:tr>
        <w:tc>
          <w:tcPr>
            <w:tcW w:type="dxa" w:w="2880"/>
            <w:vAlign w:val="center"/>
          </w:tcPr>
          <w:p>
            <w:pPr>
              <w:spacing w:before="20" w:after="20" w:line="240" w:lineRule="auto"/>
              <w:jc w:val="center"/>
            </w:pPr>
            <w:r/>
            <w:r>
              <w:rPr>
                <w:rFonts w:ascii="Times New Roman" w:hAnsi="Times New Roman"/>
                <w:b w:val="0"/>
                <w:i w:val="0"/>
                <w:sz w:val="16"/>
                <w:u w:val="none"/>
              </w:rPr>
              <w:t>Financials</w:t>
            </w:r>
          </w:p>
        </w:tc>
        <w:tc>
          <w:tcPr>
            <w:tcW w:type="dxa" w:w="1368"/>
            <w:vAlign w:val="center"/>
          </w:tcPr>
          <w:p>
            <w:pPr>
              <w:spacing w:before="20" w:after="20" w:line="240" w:lineRule="auto"/>
              <w:jc w:val="center"/>
            </w:pPr>
            <w:r/>
            <w:r>
              <w:rPr>
                <w:rFonts w:ascii="Times New Roman" w:hAnsi="Times New Roman"/>
                <w:b w:val="0"/>
                <w:i w:val="0"/>
                <w:sz w:val="16"/>
                <w:u w:val="none"/>
              </w:rPr>
              <w:t>55.0%</w:t>
            </w:r>
          </w:p>
        </w:tc>
        <w:tc>
          <w:tcPr>
            <w:tcW w:type="dxa" w:w="1224"/>
            <w:vAlign w:val="center"/>
          </w:tcPr>
          <w:p>
            <w:pPr>
              <w:spacing w:before="20" w:after="20" w:line="240" w:lineRule="auto"/>
              <w:jc w:val="center"/>
            </w:pPr>
            <w:r/>
            <w:r>
              <w:rPr>
                <w:rFonts w:ascii="Times New Roman" w:hAnsi="Times New Roman"/>
                <w:b w:val="0"/>
                <w:i w:val="0"/>
                <w:sz w:val="16"/>
                <w:u w:val="none"/>
              </w:rPr>
              <w:t>0.5350</w:t>
            </w:r>
          </w:p>
        </w:tc>
      </w:tr>
      <w:tr>
        <w:tc>
          <w:tcPr>
            <w:tcW w:type="dxa" w:w="2880"/>
            <w:vAlign w:val="center"/>
          </w:tcPr>
          <w:p>
            <w:pPr>
              <w:spacing w:before="20" w:after="20" w:line="240" w:lineRule="auto"/>
              <w:jc w:val="center"/>
            </w:pPr>
            <w:r/>
            <w:r>
              <w:rPr>
                <w:rFonts w:ascii="Times New Roman" w:hAnsi="Times New Roman"/>
                <w:b w:val="0"/>
                <w:i w:val="0"/>
                <w:sz w:val="16"/>
                <w:u w:val="none"/>
              </w:rPr>
              <w:t>Industrials</w:t>
            </w:r>
          </w:p>
        </w:tc>
        <w:tc>
          <w:tcPr>
            <w:tcW w:type="dxa" w:w="1368"/>
            <w:vAlign w:val="center"/>
          </w:tcPr>
          <w:p>
            <w:pPr>
              <w:spacing w:before="20" w:after="20" w:line="240" w:lineRule="auto"/>
              <w:jc w:val="center"/>
            </w:pPr>
            <w:r/>
            <w:r>
              <w:rPr>
                <w:rFonts w:ascii="Times New Roman" w:hAnsi="Times New Roman"/>
                <w:b w:val="0"/>
                <w:i w:val="0"/>
                <w:sz w:val="16"/>
                <w:u w:val="none"/>
              </w:rPr>
              <w:t>54.5%</w:t>
            </w:r>
          </w:p>
        </w:tc>
        <w:tc>
          <w:tcPr>
            <w:tcW w:type="dxa" w:w="1224"/>
            <w:vAlign w:val="center"/>
          </w:tcPr>
          <w:p>
            <w:pPr>
              <w:spacing w:before="20" w:after="20" w:line="240" w:lineRule="auto"/>
              <w:jc w:val="center"/>
            </w:pPr>
            <w:r/>
            <w:r>
              <w:rPr>
                <w:rFonts w:ascii="Times New Roman" w:hAnsi="Times New Roman"/>
                <w:b w:val="0"/>
                <w:i w:val="0"/>
                <w:sz w:val="16"/>
                <w:u w:val="none"/>
              </w:rPr>
              <w:t>0.5350</w:t>
            </w:r>
          </w:p>
        </w:tc>
      </w:tr>
      <w:tr>
        <w:tc>
          <w:tcPr>
            <w:tcW w:type="dxa" w:w="2880"/>
            <w:vAlign w:val="center"/>
          </w:tcPr>
          <w:p>
            <w:pPr>
              <w:spacing w:before="20" w:after="20" w:line="240" w:lineRule="auto"/>
              <w:jc w:val="center"/>
            </w:pPr>
            <w:r/>
            <w:r>
              <w:rPr>
                <w:rFonts w:ascii="Times New Roman" w:hAnsi="Times New Roman"/>
                <w:b w:val="0"/>
                <w:i w:val="0"/>
                <w:sz w:val="16"/>
                <w:u w:val="none"/>
              </w:rPr>
              <w:t>Utilities</w:t>
            </w:r>
          </w:p>
        </w:tc>
        <w:tc>
          <w:tcPr>
            <w:tcW w:type="dxa" w:w="1368"/>
            <w:vAlign w:val="center"/>
          </w:tcPr>
          <w:p>
            <w:pPr>
              <w:spacing w:before="20" w:after="20" w:line="240" w:lineRule="auto"/>
              <w:jc w:val="center"/>
            </w:pPr>
            <w:r/>
            <w:r>
              <w:rPr>
                <w:rFonts w:ascii="Times New Roman" w:hAnsi="Times New Roman"/>
                <w:b w:val="0"/>
                <w:i w:val="0"/>
                <w:sz w:val="16"/>
                <w:u w:val="none"/>
              </w:rPr>
              <w:t>54.5%</w:t>
            </w:r>
          </w:p>
        </w:tc>
        <w:tc>
          <w:tcPr>
            <w:tcW w:type="dxa" w:w="1224"/>
            <w:vAlign w:val="center"/>
          </w:tcPr>
          <w:p>
            <w:pPr>
              <w:spacing w:before="20" w:after="20" w:line="240" w:lineRule="auto"/>
              <w:jc w:val="center"/>
            </w:pPr>
            <w:r/>
            <w:r>
              <w:rPr>
                <w:rFonts w:ascii="Times New Roman" w:hAnsi="Times New Roman"/>
                <w:b w:val="0"/>
                <w:i w:val="0"/>
                <w:sz w:val="16"/>
                <w:u w:val="none"/>
              </w:rPr>
              <w:t>0.5420</w:t>
            </w:r>
          </w:p>
        </w:tc>
      </w:tr>
      <w:tr>
        <w:tc>
          <w:tcPr>
            <w:tcW w:type="dxa" w:w="2880"/>
            <w:vAlign w:val="center"/>
          </w:tcPr>
          <w:p>
            <w:pPr>
              <w:spacing w:before="20" w:after="20" w:line="240" w:lineRule="auto"/>
              <w:jc w:val="center"/>
            </w:pPr>
            <w:r/>
            <w:r>
              <w:rPr>
                <w:rFonts w:ascii="Times New Roman" w:hAnsi="Times New Roman"/>
                <w:b w:val="0"/>
                <w:i w:val="0"/>
                <w:sz w:val="16"/>
                <w:u w:val="none"/>
              </w:rPr>
              <w:t>Health Care</w:t>
            </w:r>
          </w:p>
        </w:tc>
        <w:tc>
          <w:tcPr>
            <w:tcW w:type="dxa" w:w="1368"/>
            <w:vAlign w:val="center"/>
          </w:tcPr>
          <w:p>
            <w:pPr>
              <w:spacing w:before="20" w:after="20" w:line="240" w:lineRule="auto"/>
              <w:jc w:val="center"/>
            </w:pPr>
            <w:r/>
            <w:r>
              <w:rPr>
                <w:rFonts w:ascii="Times New Roman" w:hAnsi="Times New Roman"/>
                <w:b w:val="0"/>
                <w:i w:val="0"/>
                <w:sz w:val="16"/>
                <w:u w:val="none"/>
              </w:rPr>
              <w:t>54.3%</w:t>
            </w:r>
          </w:p>
        </w:tc>
        <w:tc>
          <w:tcPr>
            <w:tcW w:type="dxa" w:w="1224"/>
            <w:vAlign w:val="center"/>
          </w:tcPr>
          <w:p>
            <w:pPr>
              <w:spacing w:before="20" w:after="20" w:line="240" w:lineRule="auto"/>
              <w:jc w:val="center"/>
            </w:pPr>
            <w:r/>
            <w:r>
              <w:rPr>
                <w:rFonts w:ascii="Times New Roman" w:hAnsi="Times New Roman"/>
                <w:b w:val="0"/>
                <w:i w:val="0"/>
                <w:sz w:val="16"/>
                <w:u w:val="none"/>
              </w:rPr>
              <w:t>0.5578</w:t>
            </w:r>
          </w:p>
        </w:tc>
      </w:tr>
      <w:tr>
        <w:tc>
          <w:tcPr>
            <w:tcW w:type="dxa" w:w="2880"/>
            <w:vAlign w:val="center"/>
          </w:tcPr>
          <w:p>
            <w:pPr>
              <w:spacing w:before="20" w:after="20" w:line="240" w:lineRule="auto"/>
              <w:jc w:val="center"/>
            </w:pPr>
            <w:r/>
            <w:r>
              <w:rPr>
                <w:rFonts w:ascii="Times New Roman" w:hAnsi="Times New Roman"/>
                <w:b w:val="0"/>
                <w:i w:val="0"/>
                <w:sz w:val="16"/>
                <w:u w:val="none"/>
              </w:rPr>
              <w:t>Consumer Discretionary</w:t>
            </w:r>
          </w:p>
        </w:tc>
        <w:tc>
          <w:tcPr>
            <w:tcW w:type="dxa" w:w="1368"/>
            <w:vAlign w:val="center"/>
          </w:tcPr>
          <w:p>
            <w:pPr>
              <w:spacing w:before="20" w:after="20" w:line="240" w:lineRule="auto"/>
              <w:jc w:val="center"/>
            </w:pPr>
            <w:r/>
            <w:r>
              <w:rPr>
                <w:rFonts w:ascii="Times New Roman" w:hAnsi="Times New Roman"/>
                <w:b w:val="0"/>
                <w:i w:val="0"/>
                <w:sz w:val="16"/>
                <w:u w:val="none"/>
              </w:rPr>
              <w:t>54.1%</w:t>
            </w:r>
          </w:p>
        </w:tc>
        <w:tc>
          <w:tcPr>
            <w:tcW w:type="dxa" w:w="1224"/>
            <w:vAlign w:val="center"/>
          </w:tcPr>
          <w:p>
            <w:pPr>
              <w:spacing w:before="20" w:after="20" w:line="240" w:lineRule="auto"/>
              <w:jc w:val="center"/>
            </w:pPr>
            <w:r/>
            <w:r>
              <w:rPr>
                <w:rFonts w:ascii="Times New Roman" w:hAnsi="Times New Roman"/>
                <w:b w:val="0"/>
                <w:i w:val="0"/>
                <w:sz w:val="16"/>
                <w:u w:val="none"/>
              </w:rPr>
              <w:t>0.5305</w:t>
            </w:r>
          </w:p>
        </w:tc>
      </w:tr>
      <w:tr>
        <w:tc>
          <w:tcPr>
            <w:tcW w:type="dxa" w:w="2880"/>
            <w:vAlign w:val="center"/>
          </w:tcPr>
          <w:p>
            <w:pPr>
              <w:spacing w:before="20" w:after="20" w:line="240" w:lineRule="auto"/>
              <w:jc w:val="center"/>
            </w:pPr>
            <w:r/>
            <w:r>
              <w:rPr>
                <w:rFonts w:ascii="Times New Roman" w:hAnsi="Times New Roman"/>
                <w:b w:val="0"/>
                <w:i w:val="0"/>
                <w:sz w:val="16"/>
                <w:u w:val="none"/>
              </w:rPr>
              <w:t>Information Technology</w:t>
            </w:r>
          </w:p>
        </w:tc>
        <w:tc>
          <w:tcPr>
            <w:tcW w:type="dxa" w:w="1368"/>
            <w:vAlign w:val="center"/>
          </w:tcPr>
          <w:p>
            <w:pPr>
              <w:spacing w:before="20" w:after="20" w:line="240" w:lineRule="auto"/>
              <w:jc w:val="center"/>
            </w:pPr>
            <w:r/>
            <w:r>
              <w:rPr>
                <w:rFonts w:ascii="Times New Roman" w:hAnsi="Times New Roman"/>
                <w:b w:val="0"/>
                <w:i w:val="0"/>
                <w:sz w:val="16"/>
                <w:u w:val="none"/>
              </w:rPr>
              <w:t>53.2%</w:t>
            </w:r>
          </w:p>
        </w:tc>
        <w:tc>
          <w:tcPr>
            <w:tcW w:type="dxa" w:w="1224"/>
            <w:vAlign w:val="center"/>
          </w:tcPr>
          <w:p>
            <w:pPr>
              <w:spacing w:before="20" w:after="20" w:line="240" w:lineRule="auto"/>
              <w:jc w:val="center"/>
            </w:pPr>
            <w:r/>
            <w:r>
              <w:rPr>
                <w:rFonts w:ascii="Times New Roman" w:hAnsi="Times New Roman"/>
                <w:b w:val="0"/>
                <w:i w:val="0"/>
                <w:sz w:val="16"/>
                <w:u w:val="none"/>
              </w:rPr>
              <w:t>0.5420</w:t>
            </w:r>
          </w:p>
        </w:tc>
      </w:tr>
      <w:tr>
        <w:tc>
          <w:tcPr>
            <w:tcW w:type="dxa" w:w="2880"/>
            <w:vAlign w:val="center"/>
          </w:tcPr>
          <w:p>
            <w:pPr>
              <w:spacing w:before="20" w:after="20" w:line="240" w:lineRule="auto"/>
              <w:jc w:val="center"/>
            </w:pPr>
            <w:r/>
            <w:r>
              <w:rPr>
                <w:rFonts w:ascii="Times New Roman" w:hAnsi="Times New Roman"/>
                <w:b w:val="0"/>
                <w:i w:val="0"/>
                <w:sz w:val="16"/>
                <w:u w:val="none"/>
              </w:rPr>
              <w:t>Materials</w:t>
            </w:r>
          </w:p>
        </w:tc>
        <w:tc>
          <w:tcPr>
            <w:tcW w:type="dxa" w:w="1368"/>
            <w:vAlign w:val="center"/>
          </w:tcPr>
          <w:p>
            <w:pPr>
              <w:spacing w:before="20" w:after="20" w:line="240" w:lineRule="auto"/>
              <w:jc w:val="center"/>
            </w:pPr>
            <w:r/>
            <w:r>
              <w:rPr>
                <w:rFonts w:ascii="Times New Roman" w:hAnsi="Times New Roman"/>
                <w:b w:val="0"/>
                <w:i w:val="0"/>
                <w:sz w:val="16"/>
                <w:u w:val="none"/>
              </w:rPr>
              <w:t>53.2%</w:t>
            </w:r>
          </w:p>
        </w:tc>
        <w:tc>
          <w:tcPr>
            <w:tcW w:type="dxa" w:w="1224"/>
            <w:vAlign w:val="center"/>
          </w:tcPr>
          <w:p>
            <w:pPr>
              <w:spacing w:before="20" w:after="20" w:line="240" w:lineRule="auto"/>
              <w:jc w:val="center"/>
            </w:pPr>
            <w:r/>
            <w:r>
              <w:rPr>
                <w:rFonts w:ascii="Times New Roman" w:hAnsi="Times New Roman"/>
                <w:b w:val="0"/>
                <w:i w:val="0"/>
                <w:sz w:val="16"/>
                <w:u w:val="none"/>
              </w:rPr>
              <w:t>0.5481</w:t>
            </w:r>
          </w:p>
        </w:tc>
      </w:tr>
    </w:tbl>
    <w:p>
      <w:pPr>
        <w:spacing w:before="0" w:after="0" w:line="240" w:lineRule="auto"/>
        <w:jc w:val="both"/>
      </w:pPr>
      <w:r>
        <w:rPr>
          <w:rFonts w:ascii="Times New Roman" w:hAnsi="Times New Roman"/>
          <w:b w:val="0"/>
          <w:i w:val="0"/>
          <w:sz w:val="20"/>
          <w:u w:val="none"/>
        </w:rPr>
      </w:r>
    </w:p>
    <w:p>
      <w:pPr>
        <w:spacing w:before="0" w:after="0" w:line="240" w:lineRule="auto"/>
        <w:ind w:firstLine="360"/>
        <w:jc w:val="both"/>
      </w:pPr>
      <w:r>
        <w:rPr>
          <w:rFonts w:ascii="Times New Roman" w:hAnsi="Times New Roman"/>
          <w:b w:val="0"/>
          <w:i w:val="0"/>
          <w:sz w:val="20"/>
          <w:u w:val="none"/>
        </w:rPr>
        <w:t>The best single configuration across all 45 tested is Communication Services with K-Means clustering (k=2), Cluster 0: 63.9% accuracy and AUC 0.6902 on 122 observations. This cluster captures companies with subscription-driven revenue models whose quarterly ratio patterns exhibit strong intra-cluster homogeneity, making their outperformance more predictable from financial statement data alone.</w:t>
      </w:r>
    </w:p>
    <w:p>
      <w:pPr>
        <w:spacing w:before="120" w:after="120" w:line="240" w:lineRule="auto"/>
        <w:jc w:val="left"/>
      </w:pPr>
      <w:r>
        <w:rPr>
          <w:rFonts w:ascii="Times New Roman" w:hAnsi="Times New Roman"/>
          <w:b w:val="0"/>
          <w:i/>
          <w:sz w:val="20"/>
          <w:u w:val="none"/>
        </w:rPr>
        <w:t>C. 2025 Out-of-Sample Validation</w:t>
      </w:r>
    </w:p>
    <w:p>
      <w:pPr>
        <w:spacing w:before="0" w:after="0" w:line="240" w:lineRule="auto"/>
        <w:ind w:firstLine="0"/>
        <w:jc w:val="both"/>
      </w:pPr>
      <w:r>
        <w:rPr>
          <w:rFonts w:ascii="Times New Roman" w:hAnsi="Times New Roman"/>
          <w:b w:val="0"/>
          <w:i w:val="0"/>
          <w:sz w:val="20"/>
          <w:u w:val="none"/>
        </w:rPr>
        <w:t>The model trained through Q4 2024 is applied to all four quarters of 2025 on 1,219 stock-quarter predictions. Figure VII shows the quarter-by-quarter accuracy trend. The anomalous Q1 2025 accuracy of 44.6% coincides with a broad market correction (S&amp;P 500 declined 4.6%), suggesting that extreme bear-market dynamics lie outside the distribution of the training data. Accuracy recovers to 55.3%-57.5% in subsequent quarters as market conditions normalize.</w:t>
      </w:r>
    </w:p>
    <w:p>
      <w:pPr>
        <w:spacing w:before="120" w:after="40" w:line="240" w:lineRule="auto"/>
        <w:jc w:val="center"/>
      </w:pPr>
      <w:r>
        <w:drawing>
          <wp:inline xmlns:a="http://schemas.openxmlformats.org/drawingml/2006/main" xmlns:pic="http://schemas.openxmlformats.org/drawingml/2006/picture">
            <wp:extent cx="2926080" cy="2386669"/>
            <wp:docPr id="7" name="Picture 7"/>
            <wp:cNvGraphicFramePr>
              <a:graphicFrameLocks noChangeAspect="1"/>
            </wp:cNvGraphicFramePr>
            <a:graphic>
              <a:graphicData uri="http://schemas.openxmlformats.org/drawingml/2006/picture">
                <pic:pic>
                  <pic:nvPicPr>
                    <pic:cNvPr id="0" name="07_accuracy_trend_2025.png"/>
                    <pic:cNvPicPr/>
                  </pic:nvPicPr>
                  <pic:blipFill>
                    <a:blip r:embed="rId15"/>
                    <a:stretch>
                      <a:fillRect/>
                    </a:stretch>
                  </pic:blipFill>
                  <pic:spPr>
                    <a:xfrm>
                      <a:off x="0" y="0"/>
                      <a:ext cx="2926080" cy="2386669"/>
                    </a:xfrm>
                    <a:prstGeom prst="rect"/>
                  </pic:spPr>
                </pic:pic>
              </a:graphicData>
            </a:graphic>
          </wp:inline>
        </w:drawing>
      </w:r>
    </w:p>
    <w:p>
      <w:pPr>
        <w:spacing w:before="40" w:after="20" w:line="240" w:lineRule="auto"/>
        <w:jc w:val="center"/>
      </w:pPr>
      <w:r>
        <w:rPr>
          <w:rFonts w:ascii="Times New Roman" w:hAnsi="Times New Roman"/>
          <w:b w:val="0"/>
          <w:i w:val="0"/>
          <w:caps/>
          <w:sz w:val="20"/>
          <w:u w:val="none"/>
        </w:rPr>
        <w:t>FIGURE VII</w:t>
      </w:r>
    </w:p>
    <w:p>
      <w:pPr>
        <w:spacing w:before="20" w:after="120" w:line="240" w:lineRule="auto"/>
        <w:jc w:val="center"/>
      </w:pPr>
      <w:r>
        <w:rPr>
          <w:rFonts w:ascii="Times New Roman" w:hAnsi="Times New Roman"/>
          <w:b w:val="0"/>
          <w:i w:val="0"/>
          <w:smallCaps/>
          <w:sz w:val="16"/>
          <w:u w:val="none"/>
        </w:rPr>
        <w:t>2025 Out-of-Sample Prediction Accuracy by Quarter. Dashed Lines Indicate the Random Baseline (50%), Training Accuracy (53.2%), and Benchmark (71.2%).</w:t>
      </w:r>
    </w:p>
    <w:p>
      <w:pPr>
        <w:spacing w:before="120" w:after="120" w:line="240" w:lineRule="auto"/>
        <w:jc w:val="left"/>
      </w:pPr>
      <w:r>
        <w:rPr>
          <w:rFonts w:ascii="Times New Roman" w:hAnsi="Times New Roman"/>
          <w:b w:val="0"/>
          <w:i/>
          <w:sz w:val="20"/>
          <w:u w:val="none"/>
        </w:rPr>
        <w:t>D. Portfolio Simulation</w:t>
      </w:r>
    </w:p>
    <w:p>
      <w:pPr>
        <w:spacing w:before="0" w:after="0" w:line="240" w:lineRule="auto"/>
        <w:ind w:firstLine="0"/>
        <w:jc w:val="both"/>
      </w:pPr>
      <w:r>
        <w:rPr>
          <w:rFonts w:ascii="Times New Roman" w:hAnsi="Times New Roman"/>
          <w:b w:val="0"/>
          <w:i w:val="0"/>
          <w:sz w:val="20"/>
          <w:u w:val="none"/>
        </w:rPr>
        <w:t>A simulated portfolio is constructed each quarter by allocating proportionally by market capitalization across all stocks predicted to outperform. Figure V compares quarterly portfolio returns against SPY. Table VI reports quarterly performance statistics.</w:t>
      </w:r>
    </w:p>
    <w:p>
      <w:pPr>
        <w:spacing w:before="120" w:after="40" w:line="240" w:lineRule="auto"/>
        <w:jc w:val="center"/>
      </w:pPr>
      <w:r>
        <w:drawing>
          <wp:inline xmlns:a="http://schemas.openxmlformats.org/drawingml/2006/main" xmlns:pic="http://schemas.openxmlformats.org/drawingml/2006/picture">
            <wp:extent cx="2926080" cy="2431279"/>
            <wp:docPr id="8" name="Picture 8"/>
            <wp:cNvGraphicFramePr>
              <a:graphicFrameLocks noChangeAspect="1"/>
            </wp:cNvGraphicFramePr>
            <a:graphic>
              <a:graphicData uri="http://schemas.openxmlformats.org/drawingml/2006/picture">
                <pic:pic>
                  <pic:nvPicPr>
                    <pic:cNvPr id="0" name="05_portfolio_vs_spy.png"/>
                    <pic:cNvPicPr/>
                  </pic:nvPicPr>
                  <pic:blipFill>
                    <a:blip r:embed="rId16"/>
                    <a:stretch>
                      <a:fillRect/>
                    </a:stretch>
                  </pic:blipFill>
                  <pic:spPr>
                    <a:xfrm>
                      <a:off x="0" y="0"/>
                      <a:ext cx="2926080" cy="2431279"/>
                    </a:xfrm>
                    <a:prstGeom prst="rect"/>
                  </pic:spPr>
                </pic:pic>
              </a:graphicData>
            </a:graphic>
          </wp:inline>
        </w:drawing>
      </w:r>
    </w:p>
    <w:p>
      <w:pPr>
        <w:spacing w:before="40" w:after="20" w:line="240" w:lineRule="auto"/>
        <w:jc w:val="center"/>
      </w:pPr>
      <w:r>
        <w:rPr>
          <w:rFonts w:ascii="Times New Roman" w:hAnsi="Times New Roman"/>
          <w:b w:val="0"/>
          <w:i w:val="0"/>
          <w:caps/>
          <w:sz w:val="20"/>
          <w:u w:val="none"/>
        </w:rPr>
        <w:t>FIGURE V</w:t>
      </w:r>
    </w:p>
    <w:p>
      <w:pPr>
        <w:spacing w:before="20" w:after="120" w:line="240" w:lineRule="auto"/>
        <w:jc w:val="center"/>
      </w:pPr>
      <w:r>
        <w:rPr>
          <w:rFonts w:ascii="Times New Roman" w:hAnsi="Times New Roman"/>
          <w:b w:val="0"/>
          <w:i w:val="0"/>
          <w:smallCaps/>
          <w:sz w:val="16"/>
          <w:u w:val="none"/>
        </w:rPr>
        <w:t>Simulated Model Portfolio Returns vs. S&amp;P 500 (SPY) by Quarter, 2025. Bottom Panel Shows Alpha (Portfolio Return − SPY Return).</w:t>
      </w:r>
    </w:p>
    <w:p>
      <w:pPr>
        <w:spacing w:before="120" w:after="20" w:line="240" w:lineRule="auto"/>
        <w:jc w:val="center"/>
      </w:pPr>
      <w:r>
        <w:rPr>
          <w:rFonts w:ascii="Times New Roman" w:hAnsi="Times New Roman"/>
          <w:b w:val="0"/>
          <w:i w:val="0"/>
          <w:caps/>
          <w:sz w:val="20"/>
          <w:u w:val="none"/>
        </w:rPr>
        <w:t>TABLE VI</w:t>
      </w:r>
    </w:p>
    <w:p>
      <w:pPr>
        <w:spacing w:before="20" w:after="60" w:line="240" w:lineRule="auto"/>
        <w:jc w:val="center"/>
      </w:pPr>
      <w:r>
        <w:rPr>
          <w:rFonts w:ascii="Times New Roman" w:hAnsi="Times New Roman"/>
          <w:b w:val="0"/>
          <w:i w:val="0"/>
          <w:smallCaps/>
          <w:sz w:val="16"/>
          <w:u w:val="none"/>
        </w:rPr>
        <w:t>2025 Simulated Portfolio vs. S&amp;P 500 (SPY)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224"/>
            <w:vAlign w:val="center"/>
          </w:tcPr>
          <w:p>
            <w:pPr>
              <w:spacing w:before="20" w:after="20" w:line="240" w:lineRule="auto"/>
              <w:jc w:val="center"/>
            </w:pPr>
            <w:r/>
            <w:r>
              <w:rPr>
                <w:rFonts w:ascii="Times New Roman" w:hAnsi="Times New Roman"/>
                <w:b/>
                <w:i w:val="0"/>
                <w:sz w:val="16"/>
                <w:u w:val="none"/>
              </w:rPr>
              <w:t>Quarter</w:t>
            </w:r>
          </w:p>
        </w:tc>
        <w:tc>
          <w:tcPr>
            <w:tcW w:type="dxa" w:w="1080"/>
            <w:vAlign w:val="center"/>
          </w:tcPr>
          <w:p>
            <w:pPr>
              <w:spacing w:before="20" w:after="20" w:line="240" w:lineRule="auto"/>
              <w:jc w:val="center"/>
            </w:pPr>
            <w:r/>
            <w:r>
              <w:rPr>
                <w:rFonts w:ascii="Times New Roman" w:hAnsi="Times New Roman"/>
                <w:b/>
                <w:i w:val="0"/>
                <w:sz w:val="16"/>
                <w:u w:val="none"/>
              </w:rPr>
              <w:t>N Stocks</w:t>
            </w:r>
          </w:p>
        </w:tc>
        <w:tc>
          <w:tcPr>
            <w:tcW w:type="dxa" w:w="1440"/>
            <w:vAlign w:val="center"/>
          </w:tcPr>
          <w:p>
            <w:pPr>
              <w:spacing w:before="20" w:after="20" w:line="240" w:lineRule="auto"/>
              <w:jc w:val="center"/>
            </w:pPr>
            <w:r/>
            <w:r>
              <w:rPr>
                <w:rFonts w:ascii="Times New Roman" w:hAnsi="Times New Roman"/>
                <w:b/>
                <w:i w:val="0"/>
                <w:sz w:val="16"/>
                <w:u w:val="none"/>
              </w:rPr>
              <w:t>Model Return</w:t>
            </w:r>
          </w:p>
        </w:tc>
        <w:tc>
          <w:tcPr>
            <w:tcW w:type="dxa" w:w="1440"/>
            <w:vAlign w:val="center"/>
          </w:tcPr>
          <w:p>
            <w:pPr>
              <w:spacing w:before="20" w:after="20" w:line="240" w:lineRule="auto"/>
              <w:jc w:val="center"/>
            </w:pPr>
            <w:r/>
            <w:r>
              <w:rPr>
                <w:rFonts w:ascii="Times New Roman" w:hAnsi="Times New Roman"/>
                <w:b/>
                <w:i w:val="0"/>
                <w:sz w:val="16"/>
                <w:u w:val="none"/>
              </w:rPr>
              <w:t>SPY Return</w:t>
            </w:r>
          </w:p>
        </w:tc>
        <w:tc>
          <w:tcPr>
            <w:tcW w:type="dxa" w:w="1080"/>
            <w:vAlign w:val="center"/>
          </w:tcPr>
          <w:p>
            <w:pPr>
              <w:spacing w:before="20" w:after="20" w:line="240" w:lineRule="auto"/>
              <w:jc w:val="center"/>
            </w:pPr>
            <w:r/>
            <w:r>
              <w:rPr>
                <w:rFonts w:ascii="Times New Roman" w:hAnsi="Times New Roman"/>
                <w:b/>
                <w:i w:val="0"/>
                <w:sz w:val="16"/>
                <w:u w:val="none"/>
              </w:rPr>
              <w:t>Alpha</w:t>
            </w:r>
          </w:p>
        </w:tc>
      </w:tr>
      <w:tr>
        <w:tc>
          <w:tcPr>
            <w:tcW w:type="dxa" w:w="1224"/>
            <w:vAlign w:val="center"/>
          </w:tcPr>
          <w:p>
            <w:pPr>
              <w:spacing w:before="20" w:after="20" w:line="240" w:lineRule="auto"/>
              <w:jc w:val="center"/>
            </w:pPr>
            <w:r/>
            <w:r>
              <w:rPr>
                <w:rFonts w:ascii="Times New Roman" w:hAnsi="Times New Roman"/>
                <w:b w:val="0"/>
                <w:i w:val="0"/>
                <w:sz w:val="16"/>
                <w:u w:val="none"/>
              </w:rPr>
              <w:t>Q2 2025</w:t>
            </w:r>
          </w:p>
        </w:tc>
        <w:tc>
          <w:tcPr>
            <w:tcW w:type="dxa" w:w="1080"/>
            <w:vAlign w:val="center"/>
          </w:tcPr>
          <w:p>
            <w:pPr>
              <w:spacing w:before="20" w:after="20" w:line="240" w:lineRule="auto"/>
              <w:jc w:val="center"/>
            </w:pPr>
            <w:r/>
            <w:r>
              <w:rPr>
                <w:rFonts w:ascii="Times New Roman" w:hAnsi="Times New Roman"/>
                <w:b w:val="0"/>
                <w:i w:val="0"/>
                <w:sz w:val="16"/>
                <w:u w:val="none"/>
              </w:rPr>
              <w:t>387</w:t>
            </w:r>
          </w:p>
        </w:tc>
        <w:tc>
          <w:tcPr>
            <w:tcW w:type="dxa" w:w="1440"/>
            <w:vAlign w:val="center"/>
          </w:tcPr>
          <w:p>
            <w:pPr>
              <w:spacing w:before="20" w:after="20" w:line="240" w:lineRule="auto"/>
              <w:jc w:val="center"/>
            </w:pPr>
            <w:r/>
            <w:r>
              <w:rPr>
                <w:rFonts w:ascii="Times New Roman" w:hAnsi="Times New Roman"/>
                <w:b w:val="0"/>
                <w:i w:val="0"/>
                <w:sz w:val="16"/>
                <w:u w:val="none"/>
              </w:rPr>
              <w:t>+6.39%</w:t>
            </w:r>
          </w:p>
        </w:tc>
        <w:tc>
          <w:tcPr>
            <w:tcW w:type="dxa" w:w="1440"/>
            <w:vAlign w:val="center"/>
          </w:tcPr>
          <w:p>
            <w:pPr>
              <w:spacing w:before="20" w:after="20" w:line="240" w:lineRule="auto"/>
              <w:jc w:val="center"/>
            </w:pPr>
            <w:r/>
            <w:r>
              <w:rPr>
                <w:rFonts w:ascii="Times New Roman" w:hAnsi="Times New Roman"/>
                <w:b w:val="0"/>
                <w:i w:val="0"/>
                <w:sz w:val="16"/>
                <w:u w:val="none"/>
              </w:rPr>
              <w:t>+10.57%</w:t>
            </w:r>
          </w:p>
        </w:tc>
        <w:tc>
          <w:tcPr>
            <w:tcW w:type="dxa" w:w="1080"/>
            <w:vAlign w:val="center"/>
          </w:tcPr>
          <w:p>
            <w:pPr>
              <w:spacing w:before="20" w:after="20" w:line="240" w:lineRule="auto"/>
              <w:jc w:val="center"/>
            </w:pPr>
            <w:r/>
            <w:r>
              <w:rPr>
                <w:rFonts w:ascii="Times New Roman" w:hAnsi="Times New Roman"/>
                <w:b w:val="0"/>
                <w:i w:val="0"/>
                <w:sz w:val="16"/>
                <w:u w:val="none"/>
              </w:rPr>
              <w:t>−4.18%</w:t>
            </w:r>
          </w:p>
        </w:tc>
      </w:tr>
      <w:tr>
        <w:tc>
          <w:tcPr>
            <w:tcW w:type="dxa" w:w="1224"/>
            <w:vAlign w:val="center"/>
          </w:tcPr>
          <w:p>
            <w:pPr>
              <w:spacing w:before="20" w:after="20" w:line="240" w:lineRule="auto"/>
              <w:jc w:val="center"/>
            </w:pPr>
            <w:r/>
            <w:r>
              <w:rPr>
                <w:rFonts w:ascii="Times New Roman" w:hAnsi="Times New Roman"/>
                <w:b w:val="0"/>
                <w:i w:val="0"/>
                <w:sz w:val="16"/>
                <w:u w:val="none"/>
              </w:rPr>
              <w:t>Q3 2025</w:t>
            </w:r>
          </w:p>
        </w:tc>
        <w:tc>
          <w:tcPr>
            <w:tcW w:type="dxa" w:w="1080"/>
            <w:vAlign w:val="center"/>
          </w:tcPr>
          <w:p>
            <w:pPr>
              <w:spacing w:before="20" w:after="20" w:line="240" w:lineRule="auto"/>
              <w:jc w:val="center"/>
            </w:pPr>
            <w:r/>
            <w:r>
              <w:rPr>
                <w:rFonts w:ascii="Times New Roman" w:hAnsi="Times New Roman"/>
                <w:b w:val="0"/>
                <w:i w:val="0"/>
                <w:sz w:val="16"/>
                <w:u w:val="none"/>
              </w:rPr>
              <w:t>391</w:t>
            </w:r>
          </w:p>
        </w:tc>
        <w:tc>
          <w:tcPr>
            <w:tcW w:type="dxa" w:w="1440"/>
            <w:vAlign w:val="center"/>
          </w:tcPr>
          <w:p>
            <w:pPr>
              <w:spacing w:before="20" w:after="20" w:line="240" w:lineRule="auto"/>
              <w:jc w:val="center"/>
            </w:pPr>
            <w:r/>
            <w:r>
              <w:rPr>
                <w:rFonts w:ascii="Times New Roman" w:hAnsi="Times New Roman"/>
                <w:b w:val="0"/>
                <w:i w:val="0"/>
                <w:sz w:val="16"/>
                <w:u w:val="none"/>
              </w:rPr>
              <w:t>+6.74%</w:t>
            </w:r>
          </w:p>
        </w:tc>
        <w:tc>
          <w:tcPr>
            <w:tcW w:type="dxa" w:w="1440"/>
            <w:vAlign w:val="center"/>
          </w:tcPr>
          <w:p>
            <w:pPr>
              <w:spacing w:before="20" w:after="20" w:line="240" w:lineRule="auto"/>
              <w:jc w:val="center"/>
            </w:pPr>
            <w:r/>
            <w:r>
              <w:rPr>
                <w:rFonts w:ascii="Times New Roman" w:hAnsi="Times New Roman"/>
                <w:b w:val="0"/>
                <w:i w:val="0"/>
                <w:sz w:val="16"/>
                <w:u w:val="none"/>
              </w:rPr>
              <w:t>+7.79%</w:t>
            </w:r>
          </w:p>
        </w:tc>
        <w:tc>
          <w:tcPr>
            <w:tcW w:type="dxa" w:w="1080"/>
            <w:vAlign w:val="center"/>
          </w:tcPr>
          <w:p>
            <w:pPr>
              <w:spacing w:before="20" w:after="20" w:line="240" w:lineRule="auto"/>
              <w:jc w:val="center"/>
            </w:pPr>
            <w:r/>
            <w:r>
              <w:rPr>
                <w:rFonts w:ascii="Times New Roman" w:hAnsi="Times New Roman"/>
                <w:b w:val="0"/>
                <w:i w:val="0"/>
                <w:sz w:val="16"/>
                <w:u w:val="none"/>
              </w:rPr>
              <w:t>−1.06%</w:t>
            </w:r>
          </w:p>
        </w:tc>
      </w:tr>
      <w:tr>
        <w:tc>
          <w:tcPr>
            <w:tcW w:type="dxa" w:w="1224"/>
            <w:vAlign w:val="center"/>
          </w:tcPr>
          <w:p>
            <w:pPr>
              <w:spacing w:before="20" w:after="20" w:line="240" w:lineRule="auto"/>
              <w:jc w:val="center"/>
            </w:pPr>
            <w:r/>
            <w:r>
              <w:rPr>
                <w:rFonts w:ascii="Times New Roman" w:hAnsi="Times New Roman"/>
                <w:b w:val="0"/>
                <w:i w:val="0"/>
                <w:sz w:val="16"/>
                <w:u w:val="none"/>
              </w:rPr>
              <w:t>Q4 2025</w:t>
            </w:r>
          </w:p>
        </w:tc>
        <w:tc>
          <w:tcPr>
            <w:tcW w:type="dxa" w:w="1080"/>
            <w:vAlign w:val="center"/>
          </w:tcPr>
          <w:p>
            <w:pPr>
              <w:spacing w:before="20" w:after="20" w:line="240" w:lineRule="auto"/>
              <w:jc w:val="center"/>
            </w:pPr>
            <w:r/>
            <w:r>
              <w:rPr>
                <w:rFonts w:ascii="Times New Roman" w:hAnsi="Times New Roman"/>
                <w:b w:val="0"/>
                <w:i w:val="0"/>
                <w:sz w:val="16"/>
                <w:u w:val="none"/>
              </w:rPr>
              <w:t xml:space="preserve"> 72</w:t>
            </w:r>
          </w:p>
        </w:tc>
        <w:tc>
          <w:tcPr>
            <w:tcW w:type="dxa" w:w="1440"/>
            <w:vAlign w:val="center"/>
          </w:tcPr>
          <w:p>
            <w:pPr>
              <w:spacing w:before="20" w:after="20" w:line="240" w:lineRule="auto"/>
              <w:jc w:val="center"/>
            </w:pPr>
            <w:r/>
            <w:r>
              <w:rPr>
                <w:rFonts w:ascii="Times New Roman" w:hAnsi="Times New Roman"/>
                <w:b w:val="0"/>
                <w:i w:val="0"/>
                <w:sz w:val="16"/>
                <w:u w:val="none"/>
              </w:rPr>
              <w:t>+3.15%</w:t>
            </w:r>
          </w:p>
        </w:tc>
        <w:tc>
          <w:tcPr>
            <w:tcW w:type="dxa" w:w="1440"/>
            <w:vAlign w:val="center"/>
          </w:tcPr>
          <w:p>
            <w:pPr>
              <w:spacing w:before="20" w:after="20" w:line="240" w:lineRule="auto"/>
              <w:jc w:val="center"/>
            </w:pPr>
            <w:r/>
            <w:r>
              <w:rPr>
                <w:rFonts w:ascii="Times New Roman" w:hAnsi="Times New Roman"/>
                <w:b w:val="0"/>
                <w:i w:val="0"/>
                <w:sz w:val="16"/>
                <w:u w:val="none"/>
              </w:rPr>
              <w:t>+2.35%</w:t>
            </w:r>
          </w:p>
        </w:tc>
        <w:tc>
          <w:tcPr>
            <w:tcW w:type="dxa" w:w="1080"/>
            <w:vAlign w:val="center"/>
          </w:tcPr>
          <w:p>
            <w:pPr>
              <w:spacing w:before="20" w:after="20" w:line="240" w:lineRule="auto"/>
              <w:jc w:val="center"/>
            </w:pPr>
            <w:r/>
            <w:r>
              <w:rPr>
                <w:rFonts w:ascii="Times New Roman" w:hAnsi="Times New Roman"/>
                <w:b w:val="0"/>
                <w:i w:val="0"/>
                <w:sz w:val="16"/>
                <w:u w:val="none"/>
              </w:rPr>
              <w:t>+0.81%</w:t>
            </w:r>
          </w:p>
        </w:tc>
      </w:tr>
    </w:tbl>
    <w:p>
      <w:pPr>
        <w:spacing w:before="0" w:after="0" w:line="240" w:lineRule="auto"/>
        <w:jc w:val="both"/>
      </w:pPr>
      <w:r>
        <w:rPr>
          <w:rFonts w:ascii="Times New Roman" w:hAnsi="Times New Roman"/>
          <w:b w:val="0"/>
          <w:i w:val="0"/>
          <w:sz w:val="20"/>
          <w:u w:val="none"/>
        </w:rPr>
      </w:r>
    </w:p>
    <w:p>
      <w:pPr>
        <w:spacing w:before="0" w:after="0" w:line="240" w:lineRule="auto"/>
        <w:ind w:firstLine="360"/>
        <w:jc w:val="both"/>
      </w:pPr>
      <w:r>
        <w:rPr>
          <w:rFonts w:ascii="Times New Roman" w:hAnsi="Times New Roman"/>
          <w:b w:val="0"/>
          <w:i w:val="0"/>
          <w:sz w:val="20"/>
          <w:u w:val="none"/>
        </w:rPr>
        <w:t>The portfolio underperforms SPY in two of three comparable quarters, consistent with the semi-strong form EMH: publicly disclosed financial ratios do not systematically support sustained risk-adjusted outperformance of a passive index investment. The marginal positive alpha in Q4 2025 (+0.81%) is within normal estimation error and should not be interpreted as evidence of systematic edge.</w:t>
      </w:r>
    </w:p>
    <w:p>
      <w:pPr>
        <w:spacing w:before="120" w:after="120" w:line="240" w:lineRule="auto"/>
        <w:jc w:val="left"/>
      </w:pPr>
      <w:r>
        <w:rPr>
          <w:rFonts w:ascii="Times New Roman" w:hAnsi="Times New Roman"/>
          <w:b w:val="0"/>
          <w:i/>
          <w:sz w:val="20"/>
          <w:u w:val="none"/>
        </w:rPr>
        <w:t>E. Interpretation Summary</w:t>
      </w:r>
    </w:p>
    <w:p>
      <w:pPr>
        <w:spacing w:before="0" w:after="0" w:line="240" w:lineRule="auto"/>
        <w:ind w:firstLine="0"/>
        <w:jc w:val="both"/>
      </w:pPr>
      <w:r>
        <w:rPr>
          <w:rFonts w:ascii="Times New Roman" w:hAnsi="Times New Roman"/>
          <w:b w:val="0"/>
          <w:i w:val="0"/>
          <w:sz w:val="20"/>
          <w:u w:val="none"/>
        </w:rPr>
        <w:t>The results collectively support three conclusions. First, quarterly financial ratios contain statistically significant but modest predictive signal for next-quarter outperformance (Q1 confirmed; practical effect is limited). Second, sector homogeneity is a meaningful moderator of predictive power: segmenting by GICS sector and further by within-sector financial profile clusters materially improves AUC (Q2 confirmed). Third, the model does not reliably generate positive alpha against a passive S&amp;P 500 strategy (Q3 not confirmed), consistent with efficient markets in a competitive, information-rich environment.</w:t>
      </w:r>
    </w:p>
    <w:p>
      <w:pPr>
        <w:spacing w:before="160" w:after="160" w:line="240" w:lineRule="auto"/>
        <w:jc w:val="center"/>
      </w:pPr>
      <w:r>
        <w:rPr>
          <w:rFonts w:ascii="Times New Roman" w:hAnsi="Times New Roman"/>
          <w:b/>
          <w:i w:val="0"/>
          <w:smallCaps/>
          <w:sz w:val="20"/>
          <w:u w:val="none"/>
        </w:rPr>
        <w:t>VIII. Conclusion</w:t>
      </w:r>
    </w:p>
    <w:p>
      <w:pPr>
        <w:spacing w:before="0" w:after="0" w:line="240" w:lineRule="auto"/>
        <w:ind w:firstLine="0"/>
        <w:jc w:val="both"/>
      </w:pPr>
      <w:r>
        <w:rPr>
          <w:rFonts w:ascii="Times New Roman" w:hAnsi="Times New Roman"/>
          <w:b w:val="0"/>
          <w:i w:val="0"/>
          <w:sz w:val="20"/>
          <w:u w:val="none"/>
        </w:rPr>
        <w:t>This study demonstrates that logistic regression applied to quarterly financial ratios yields statistically significant but practically modest S&amp;P 500 outperformance predictions in a global pooled setting. Sector segmentation and within-sector clustering substantially improve discrimination, with the Communication Services Cluster 0 configuration reaching 63.9% accuracy (AUC 0.6902). The persistent gap between logistic regression and Gradient Boosting AUC scores (0.5381 vs. 0.6589) indicates that non-linear interaction effects in financial ratios remain unexploited by linear models.</w:t>
      </w:r>
    </w:p>
    <w:p>
      <w:pPr>
        <w:spacing w:before="0" w:after="0" w:line="240" w:lineRule="auto"/>
        <w:ind w:firstLine="360"/>
        <w:jc w:val="both"/>
      </w:pPr>
      <w:r>
        <w:rPr>
          <w:rFonts w:ascii="Times New Roman" w:hAnsi="Times New Roman"/>
          <w:b w:val="0"/>
          <w:i w:val="0"/>
          <w:sz w:val="20"/>
          <w:u w:val="none"/>
        </w:rPr>
        <w:t>Out-of-sample 2025 results confirm that the model generalizes reasonably to unseen data but does not generate consistent portfolio alpha, supporting a partial endorsement of the semi-strong Efficient Market Hypothesis. The sharp drop in Q1 2025 accuracy during a market correction underscores the importance of regime-aware modeling.</w:t>
      </w:r>
    </w:p>
    <w:p>
      <w:pPr>
        <w:spacing w:before="0" w:after="0" w:line="240" w:lineRule="auto"/>
        <w:ind w:firstLine="360"/>
        <w:jc w:val="both"/>
      </w:pPr>
      <w:r>
        <w:rPr>
          <w:rFonts w:ascii="Times New Roman" w:hAnsi="Times New Roman"/>
          <w:b w:val="0"/>
          <w:i w:val="0"/>
          <w:sz w:val="20"/>
          <w:u w:val="none"/>
        </w:rPr>
        <w:t>Future work should explore non-linear models (Random Forest, XGBoost, LSTM networks), longer lag windows to capture multi-quarter momentum, and alternative segmentation criteria such as analyst coverage density or earnings surprise history. Incorporating alternative data sources such as sentiment scores from 10-Q filings may further close the gap with the 71.2% benchmark accuracy.</w:t>
      </w:r>
    </w:p>
    <w:p>
      <w:pPr>
        <w:spacing w:before="160" w:after="160" w:line="240" w:lineRule="auto"/>
        <w:jc w:val="center"/>
      </w:pPr>
      <w:r>
        <w:rPr>
          <w:rFonts w:ascii="Times New Roman" w:hAnsi="Times New Roman"/>
          <w:b/>
          <w:i w:val="0"/>
          <w:smallCaps/>
          <w:sz w:val="20"/>
          <w:u w:val="none"/>
        </w:rPr>
        <w:t>. Acknowledgment</w:t>
      </w:r>
    </w:p>
    <w:p>
      <w:pPr>
        <w:spacing w:before="0" w:after="0" w:line="240" w:lineRule="auto"/>
        <w:ind w:firstLine="0"/>
        <w:jc w:val="both"/>
      </w:pPr>
      <w:r>
        <w:rPr>
          <w:rFonts w:ascii="Times New Roman" w:hAnsi="Times New Roman"/>
          <w:b w:val="0"/>
          <w:i w:val="0"/>
          <w:sz w:val="20"/>
          <w:u w:val="none"/>
        </w:rPr>
        <w:t>The authors thank the SSIE 605 course faculty at Binghamton University for guidance on methodology selection and the VIF and PCA threshold decisions applied in this study. Data were accessed through the Wharton Research Data Service (WRDS) institutional subscription provided by Binghamton University.</w:t>
      </w:r>
    </w:p>
    <w:p>
      <w:pPr>
        <w:spacing w:before="160" w:after="160" w:line="240" w:lineRule="auto"/>
        <w:jc w:val="center"/>
      </w:pPr>
      <w:r>
        <w:rPr>
          <w:rFonts w:ascii="Times New Roman" w:hAnsi="Times New Roman"/>
          <w:b/>
          <w:i w:val="0"/>
          <w:smallCaps/>
          <w:sz w:val="20"/>
          <w:u w:val="none"/>
        </w:rPr>
        <w:t>. References</w:t>
      </w:r>
    </w:p>
    <w:p>
      <w:pPr>
        <w:spacing w:before="0" w:after="40" w:line="240" w:lineRule="auto"/>
        <w:ind w:hanging="288" w:left="288"/>
        <w:jc w:val="both"/>
      </w:pPr>
      <w:r>
        <w:rPr>
          <w:rFonts w:ascii="Times New Roman" w:hAnsi="Times New Roman"/>
          <w:b w:val="0"/>
          <w:i w:val="0"/>
          <w:sz w:val="16"/>
          <w:u w:val="none"/>
        </w:rPr>
        <w:t>[1] U. Ananthakumar and D. Sarkar, "Application of logistic regression in assessing stock performance," Proc. IEEE ISEC, 2017.</w:t>
      </w:r>
    </w:p>
    <w:p>
      <w:pPr>
        <w:spacing w:before="0" w:after="40" w:line="240" w:lineRule="auto"/>
        <w:ind w:hanging="288" w:left="288"/>
        <w:jc w:val="both"/>
      </w:pPr>
      <w:r>
        <w:rPr>
          <w:rFonts w:ascii="Times New Roman" w:hAnsi="Times New Roman"/>
          <w:b w:val="0"/>
          <w:i w:val="0"/>
          <w:sz w:val="16"/>
          <w:u w:val="none"/>
        </w:rPr>
        <w:t>[2] E. F. Fama and K. R. French, "The cross-section of expected stock returns," Journal of Finance, vol. 47, no. 2, pp. 427–465, 1992.</w:t>
      </w:r>
    </w:p>
    <w:p>
      <w:pPr>
        <w:spacing w:before="0" w:after="40" w:line="240" w:lineRule="auto"/>
        <w:ind w:hanging="288" w:left="288"/>
        <w:jc w:val="both"/>
      </w:pPr>
      <w:r>
        <w:rPr>
          <w:rFonts w:ascii="Times New Roman" w:hAnsi="Times New Roman"/>
          <w:b w:val="0"/>
          <w:i w:val="0"/>
          <w:sz w:val="16"/>
          <w:u w:val="none"/>
        </w:rPr>
        <w:t>[3] J. D. Piotroski, "Value investing: The use of historical financial statement information to separate winners from losers," Journal of Accounting Research, vol. 38, pp. 1–41, 2000.</w:t>
      </w:r>
    </w:p>
    <w:p>
      <w:pPr>
        <w:spacing w:before="0" w:after="40" w:line="240" w:lineRule="auto"/>
        <w:ind w:hanging="288" w:left="288"/>
        <w:jc w:val="both"/>
      </w:pPr>
      <w:r>
        <w:rPr>
          <w:rFonts w:ascii="Times New Roman" w:hAnsi="Times New Roman"/>
          <w:b w:val="0"/>
          <w:i w:val="0"/>
          <w:sz w:val="16"/>
          <w:u w:val="none"/>
        </w:rPr>
        <w:t>[4] C. Krauss, X. A. Do, and N. Huck, "Deep neural networks, gradient-boosted trees, random forests: Statistical arbitrage on the S&amp;P 500," European Journal of Operational Research, vol. 259, no. 2, pp. 689–702, 2017.</w:t>
      </w:r>
    </w:p>
    <w:sectPr w:rsidR="00FC693F" w:rsidRPr="0006063C" w:rsidSect="00034616">
      <w:pgSz w:w="12240" w:h="15840"/>
      <w:pgMar w:top="1080" w:right="1080" w:bottom="1440" w:left="1080" w:header="720" w:footer="720" w:gutter="0"/>
      <w:docGrid w:linePitch="360"/>
      <w:cols w:num="2" w:space="288"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