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rFonts w:ascii="Instrument Serif" w:cs="Instrument Serif" w:eastAsia="Instrument Serif" w:hAnsi="Instrument Serif"/>
          <w:color w:val="111111"/>
          <w:sz w:val="46"/>
          <w:szCs w:val="46"/>
        </w:rPr>
        <w:t xml:space="preserve">Competitive Landscape Note</w:t>
      </w:r>
    </w:p>
    <w:p>
      <w:pPr>
        <w:spacing w:after="60"/>
      </w:pPr>
      <w:r>
        <w:rPr>
          <w:rFonts w:ascii="Inter" w:cs="Inter" w:eastAsia="Inter" w:hAnsi="Inter"/>
          <w:i/>
          <w:iCs/>
          <w:color w:val="555555"/>
          <w:sz w:val="19"/>
          <w:szCs w:val="19"/>
        </w:rPr>
        <w:t xml:space="preserve">“Visio” AI SEO / GEO Platform</w:t>
      </w:r>
      <w:r>
        <w:rPr>
          <w:rFonts w:ascii="Inter" w:cs="Inter" w:eastAsia="Inter" w:hAnsi="Inter"/>
          <w:color w:val="555555"/>
          <w:sz w:val="17"/>
          <w:szCs w:val="17"/>
        </w:rPr>
        <w:t xml:space="preserve">     ·     Internal · July 2026</w:t>
      </w:r>
    </w:p>
    <w:p>
      <w:pPr>
        <w:pBdr>
          <w:bottom w:val="single" w:color="111111" w:sz="6"/>
        </w:pBdr>
        <w:spacing w:after="120" w:before="40"/>
      </w:pPr>
      <w:r>
        <w:rPr>
          <w:rFonts w:ascii="Inter" w:cs="Inter" w:eastAsia="Inter" w:hAnsi="Inter"/>
          <w:sz w:val="2"/>
          <w:szCs w:val="2"/>
        </w:rPr>
        <w:t xml:space="preserve"/>
      </w:r>
    </w:p>
    <w:p>
      <w:pPr>
        <w:spacing w:after="120" w:line="264"/>
      </w:pPr>
      <w:r>
        <w:rPr>
          <w:rFonts w:ascii="Inter" w:cs="Inter" w:eastAsia="Inter" w:hAnsi="Inter"/>
          <w:b/>
          <w:bCs/>
          <w:color w:val="111111"/>
          <w:sz w:val="19"/>
          <w:szCs w:val="19"/>
        </w:rPr>
        <w:t xml:space="preserve">Purpose. </w:t>
      </w:r>
      <w:r>
        <w:rPr>
          <w:rFonts w:ascii="Inter" w:cs="Inter" w:eastAsia="Inter" w:hAnsi="Inter"/>
          <w:color w:val="111111"/>
          <w:sz w:val="19"/>
          <w:szCs w:val="19"/>
        </w:rPr>
        <w:t xml:space="preserve">A fast reality-check on “is this already built?” before we commit. Short answer: the measurement half of the vision is a real, funded, fast-moving category; the </w:t>
      </w:r>
      <w:r>
        <w:rPr>
          <w:rFonts w:ascii="Inter" w:cs="Inter" w:eastAsia="Inter" w:hAnsi="Inter"/>
          <w:i/>
          <w:iCs/>
          <w:color w:val="111111"/>
          <w:sz w:val="19"/>
          <w:szCs w:val="19"/>
        </w:rPr>
        <w:t xml:space="preserve">execution half</w:t>
      </w:r>
      <w:r>
        <w:rPr>
          <w:rFonts w:ascii="Inter" w:cs="Inter" w:eastAsia="Inter" w:hAnsi="Inter"/>
          <w:color w:val="111111"/>
          <w:sz w:val="19"/>
          <w:szCs w:val="19"/>
        </w:rPr>
        <w:t xml:space="preserve"> (the Fix Queue) is where a defensible wedge still exists. The two tools flagged as “modern competitors” — Nectar Social and Typeface — are adjacent, not head-on.</w:t>
      </w:r>
    </w:p>
    <w:p>
      <w:pPr>
        <w:pStyle w:val="Heading1"/>
        <w:spacing w:after="90" w:before="220"/>
      </w:pPr>
      <w:r>
        <w:rPr>
          <w:rFonts w:ascii="Instrument Serif" w:cs="Instrument Serif" w:eastAsia="Instrument Serif" w:hAnsi="Instrument Serif"/>
          <w:color w:val="111111"/>
          <w:sz w:val="30"/>
          <w:szCs w:val="30"/>
        </w:rPr>
        <w:t xml:space="preserve">The field, grouped by what they actually do</w:t>
      </w:r>
    </w:p>
    <w:tbl>
      <w:tblPr>
        <w:tblW w:type="dxa" w:w="9040"/>
        <w:tblBorders>
          <w:top w:val="single" w:color="D9D9D9" w:sz="2"/>
          <w:left w:val="none" w:color="FFFFFF" w:sz="0"/>
          <w:bottom w:val="single" w:color="D9D9D9" w:sz="2"/>
          <w:right w:val="none" w:color="FFFFFF" w:sz="0"/>
          <w:insideH w:val="single" w:color="D9D9D9" w:sz="2"/>
          <w:insideV w:val="none" w:color="FFFFFF" w:sz="0"/>
        </w:tblBorders>
      </w:tblPr>
      <w:tblGrid>
        <w:gridCol w:w="1900"/>
        <w:gridCol w:w="2100"/>
        <w:gridCol w:w="5040"/>
      </w:tblGrid>
      <w:tr>
        <w:tc>
          <w:tcPr>
            <w:tcW w:type="dxa" w:w="1900"/>
            <w:tcBorders>
              <w:top w:val="single" w:color="D9D9D9" w:sz="2"/>
              <w:left w:val="none" w:color="FFFFFF" w:sz="0"/>
              <w:bottom w:val="single" w:color="D9D9D9" w:sz="2"/>
              <w:right w:val="none" w:color="FFFFFF" w:sz="0"/>
            </w:tcBorders>
            <w:shd w:fill="F2F0E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Inter" w:cs="Inter" w:eastAsia="Inter" w:hAnsi="Inter"/>
                <w:b/>
                <w:bCs/>
                <w:color w:val="111111"/>
                <w:sz w:val="17"/>
                <w:szCs w:val="17"/>
              </w:rPr>
              <w:t xml:space="preserve">Player</w:t>
            </w:r>
          </w:p>
        </w:tc>
        <w:tc>
          <w:tcPr>
            <w:tcW w:type="dxa" w:w="2100"/>
            <w:tcBorders>
              <w:top w:val="single" w:color="D9D9D9" w:sz="2"/>
              <w:left w:val="none" w:color="FFFFFF" w:sz="0"/>
              <w:bottom w:val="single" w:color="D9D9D9" w:sz="2"/>
              <w:right w:val="none" w:color="FFFFFF" w:sz="0"/>
            </w:tcBorders>
            <w:shd w:fill="F2F0E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Inter" w:cs="Inter" w:eastAsia="Inter" w:hAnsi="Inter"/>
                <w:b/>
                <w:bCs/>
                <w:color w:val="111111"/>
                <w:sz w:val="17"/>
                <w:szCs w:val="17"/>
              </w:rPr>
              <w:t xml:space="preserve">Category</w:t>
            </w:r>
          </w:p>
        </w:tc>
        <w:tc>
          <w:tcPr>
            <w:tcW w:type="dxa" w:w="5040"/>
            <w:tcBorders>
              <w:top w:val="single" w:color="D9D9D9" w:sz="2"/>
              <w:left w:val="none" w:color="FFFFFF" w:sz="0"/>
              <w:bottom w:val="single" w:color="D9D9D9" w:sz="2"/>
              <w:right w:val="none" w:color="FFFFFF" w:sz="0"/>
            </w:tcBorders>
            <w:shd w:fill="F2F0E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Inter" w:cs="Inter" w:eastAsia="Inter" w:hAnsi="Inter"/>
                <w:b/>
                <w:bCs/>
                <w:color w:val="111111"/>
                <w:sz w:val="17"/>
                <w:szCs w:val="17"/>
              </w:rPr>
              <w:t xml:space="preserve">Overlap with Visio</w:t>
            </w:r>
          </w:p>
        </w:tc>
      </w:tr>
      <w:tr>
        <w:tc>
          <w:tcPr>
            <w:tcW w:type="dxa" w:w="1900"/>
            <w:tcBorders>
              <w:top w:val="single" w:color="D9D9D9" w:sz="2"/>
              <w:left w:val="none" w:color="FFFFFF" w:sz="0"/>
              <w:bottom w:val="single" w:color="D9D9D9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Inter" w:cs="Inter" w:eastAsia="Inter" w:hAnsi="Inter"/>
                <w:b w:val="false"/>
                <w:bCs w:val="false"/>
                <w:color w:val="111111"/>
                <w:sz w:val="17"/>
                <w:szCs w:val="17"/>
              </w:rPr>
              <w:t xml:space="preserve">Profound</w:t>
            </w:r>
          </w:p>
        </w:tc>
        <w:tc>
          <w:tcPr>
            <w:tcW w:type="dxa" w:w="2100"/>
            <w:tcBorders>
              <w:top w:val="single" w:color="D9D9D9" w:sz="2"/>
              <w:left w:val="none" w:color="FFFFFF" w:sz="0"/>
              <w:bottom w:val="single" w:color="D9D9D9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Inter" w:cs="Inter" w:eastAsia="Inter" w:hAnsi="Inter"/>
                <w:b w:val="false"/>
                <w:bCs w:val="false"/>
                <w:color w:val="555555"/>
                <w:sz w:val="17"/>
                <w:szCs w:val="17"/>
              </w:rPr>
              <w:t xml:space="preserve">GEO leader</w:t>
            </w:r>
          </w:p>
        </w:tc>
        <w:tc>
          <w:tcPr>
            <w:tcW w:type="dxa" w:w="5040"/>
            <w:tcBorders>
              <w:top w:val="single" w:color="D9D9D9" w:sz="2"/>
              <w:left w:val="none" w:color="FFFFFF" w:sz="0"/>
              <w:bottom w:val="single" w:color="D9D9D9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Inter" w:cs="Inter" w:eastAsia="Inter" w:hAnsi="Inter"/>
                <w:b w:val="false"/>
                <w:bCs w:val="false"/>
                <w:color w:val="111111"/>
                <w:sz w:val="17"/>
                <w:szCs w:val="17"/>
              </w:rPr>
              <w:t xml:space="preserve">Direct. ~$1B valuation ($96M Series C). AI-visibility measurement + an agentic “Agents” layer. The one to beat.</w:t>
            </w:r>
          </w:p>
        </w:tc>
      </w:tr>
      <w:tr>
        <w:tc>
          <w:tcPr>
            <w:tcW w:type="dxa" w:w="1900"/>
            <w:tcBorders>
              <w:top w:val="single" w:color="D9D9D9" w:sz="2"/>
              <w:left w:val="none" w:color="FFFFFF" w:sz="0"/>
              <w:bottom w:val="single" w:color="D9D9D9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Inter" w:cs="Inter" w:eastAsia="Inter" w:hAnsi="Inter"/>
                <w:b w:val="false"/>
                <w:bCs w:val="false"/>
                <w:color w:val="111111"/>
                <w:sz w:val="17"/>
                <w:szCs w:val="17"/>
              </w:rPr>
              <w:t xml:space="preserve">Peec AI</w:t>
            </w:r>
          </w:p>
        </w:tc>
        <w:tc>
          <w:tcPr>
            <w:tcW w:type="dxa" w:w="2100"/>
            <w:tcBorders>
              <w:top w:val="single" w:color="D9D9D9" w:sz="2"/>
              <w:left w:val="none" w:color="FFFFFF" w:sz="0"/>
              <w:bottom w:val="single" w:color="D9D9D9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Inter" w:cs="Inter" w:eastAsia="Inter" w:hAnsi="Inter"/>
                <w:b w:val="false"/>
                <w:bCs w:val="false"/>
                <w:color w:val="555555"/>
                <w:sz w:val="17"/>
                <w:szCs w:val="17"/>
              </w:rPr>
              <w:t xml:space="preserve">GEO challenger</w:t>
            </w:r>
          </w:p>
        </w:tc>
        <w:tc>
          <w:tcPr>
            <w:tcW w:type="dxa" w:w="5040"/>
            <w:tcBorders>
              <w:top w:val="single" w:color="D9D9D9" w:sz="2"/>
              <w:left w:val="none" w:color="FFFFFF" w:sz="0"/>
              <w:bottom w:val="single" w:color="D9D9D9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Inter" w:cs="Inter" w:eastAsia="Inter" w:hAnsi="Inter"/>
                <w:b w:val="false"/>
                <w:bCs w:val="false"/>
                <w:color w:val="111111"/>
                <w:sz w:val="17"/>
                <w:szCs w:val="17"/>
              </w:rPr>
              <w:t xml:space="preserve">Direct on measurement. ~$10M ARR, EU/mid-market, unlimited seats. Analytics-only — no execution layer.</w:t>
            </w:r>
          </w:p>
        </w:tc>
      </w:tr>
      <w:tr>
        <w:tc>
          <w:tcPr>
            <w:tcW w:type="dxa" w:w="1900"/>
            <w:tcBorders>
              <w:top w:val="single" w:color="D9D9D9" w:sz="2"/>
              <w:left w:val="none" w:color="FFFFFF" w:sz="0"/>
              <w:bottom w:val="single" w:color="D9D9D9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Inter" w:cs="Inter" w:eastAsia="Inter" w:hAnsi="Inter"/>
                <w:b w:val="false"/>
                <w:bCs w:val="false"/>
                <w:color w:val="111111"/>
                <w:sz w:val="17"/>
                <w:szCs w:val="17"/>
              </w:rPr>
              <w:t xml:space="preserve">Ahrefs / Semrush</w:t>
            </w:r>
          </w:p>
        </w:tc>
        <w:tc>
          <w:tcPr>
            <w:tcW w:type="dxa" w:w="2100"/>
            <w:tcBorders>
              <w:top w:val="single" w:color="D9D9D9" w:sz="2"/>
              <w:left w:val="none" w:color="FFFFFF" w:sz="0"/>
              <w:bottom w:val="single" w:color="D9D9D9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Inter" w:cs="Inter" w:eastAsia="Inter" w:hAnsi="Inter"/>
                <w:b w:val="false"/>
                <w:bCs w:val="false"/>
                <w:color w:val="555555"/>
                <w:sz w:val="17"/>
                <w:szCs w:val="17"/>
              </w:rPr>
              <w:t xml:space="preserve">SEO incumbents</w:t>
            </w:r>
          </w:p>
        </w:tc>
        <w:tc>
          <w:tcPr>
            <w:tcW w:type="dxa" w:w="5040"/>
            <w:tcBorders>
              <w:top w:val="single" w:color="D9D9D9" w:sz="2"/>
              <w:left w:val="none" w:color="FFFFFF" w:sz="0"/>
              <w:bottom w:val="single" w:color="D9D9D9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Inter" w:cs="Inter" w:eastAsia="Inter" w:hAnsi="Inter"/>
                <w:b w:val="false"/>
                <w:bCs w:val="false"/>
                <w:color w:val="111111"/>
                <w:sz w:val="17"/>
                <w:szCs w:val="17"/>
              </w:rPr>
              <w:t xml:space="preserve">Direct on classic SEO + bolting on AI tracking. Huge data + distribution; entity-first + credits backlash are their soft spots.</w:t>
            </w:r>
          </w:p>
        </w:tc>
      </w:tr>
      <w:tr>
        <w:tc>
          <w:tcPr>
            <w:tcW w:type="dxa" w:w="1900"/>
            <w:tcBorders>
              <w:top w:val="single" w:color="D9D9D9" w:sz="2"/>
              <w:left w:val="none" w:color="FFFFFF" w:sz="0"/>
              <w:bottom w:val="single" w:color="D9D9D9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Inter" w:cs="Inter" w:eastAsia="Inter" w:hAnsi="Inter"/>
                <w:b w:val="false"/>
                <w:bCs w:val="false"/>
                <w:color w:val="111111"/>
                <w:sz w:val="17"/>
                <w:szCs w:val="17"/>
              </w:rPr>
              <w:t xml:space="preserve">Typeface</w:t>
            </w:r>
          </w:p>
        </w:tc>
        <w:tc>
          <w:tcPr>
            <w:tcW w:type="dxa" w:w="2100"/>
            <w:tcBorders>
              <w:top w:val="single" w:color="D9D9D9" w:sz="2"/>
              <w:left w:val="none" w:color="FFFFFF" w:sz="0"/>
              <w:bottom w:val="single" w:color="D9D9D9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Inter" w:cs="Inter" w:eastAsia="Inter" w:hAnsi="Inter"/>
                <w:b w:val="false"/>
                <w:bCs w:val="false"/>
                <w:color w:val="555555"/>
                <w:sz w:val="17"/>
                <w:szCs w:val="17"/>
              </w:rPr>
              <w:t xml:space="preserve">AI content gen</w:t>
            </w:r>
          </w:p>
        </w:tc>
        <w:tc>
          <w:tcPr>
            <w:tcW w:type="dxa" w:w="5040"/>
            <w:tcBorders>
              <w:top w:val="single" w:color="D9D9D9" w:sz="2"/>
              <w:left w:val="none" w:color="FFFFFF" w:sz="0"/>
              <w:bottom w:val="single" w:color="D9D9D9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Inter" w:cs="Inter" w:eastAsia="Inter" w:hAnsi="Inter"/>
                <w:b w:val="false"/>
                <w:bCs w:val="false"/>
                <w:color w:val="111111"/>
                <w:sz w:val="17"/>
                <w:szCs w:val="17"/>
              </w:rPr>
              <w:t xml:space="preserve">Partial. Enterprise content drafting with SEO/GEO templates. Feeds Content Studio; not measurement or the fix loop.</w:t>
            </w:r>
          </w:p>
        </w:tc>
      </w:tr>
      <w:tr>
        <w:tc>
          <w:tcPr>
            <w:tcW w:type="dxa" w:w="1900"/>
            <w:tcBorders>
              <w:top w:val="single" w:color="D9D9D9" w:sz="2"/>
              <w:left w:val="none" w:color="FFFFFF" w:sz="0"/>
              <w:bottom w:val="single" w:color="D9D9D9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Inter" w:cs="Inter" w:eastAsia="Inter" w:hAnsi="Inter"/>
                <w:b w:val="false"/>
                <w:bCs w:val="false"/>
                <w:color w:val="111111"/>
                <w:sz w:val="17"/>
                <w:szCs w:val="17"/>
              </w:rPr>
              <w:t xml:space="preserve">Nectar Social</w:t>
            </w:r>
          </w:p>
        </w:tc>
        <w:tc>
          <w:tcPr>
            <w:tcW w:type="dxa" w:w="2100"/>
            <w:tcBorders>
              <w:top w:val="single" w:color="D9D9D9" w:sz="2"/>
              <w:left w:val="none" w:color="FFFFFF" w:sz="0"/>
              <w:bottom w:val="single" w:color="D9D9D9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Inter" w:cs="Inter" w:eastAsia="Inter" w:hAnsi="Inter"/>
                <w:b w:val="false"/>
                <w:bCs w:val="false"/>
                <w:color w:val="555555"/>
                <w:sz w:val="17"/>
                <w:szCs w:val="17"/>
              </w:rPr>
              <w:t xml:space="preserve">Social / community OS</w:t>
            </w:r>
          </w:p>
        </w:tc>
        <w:tc>
          <w:tcPr>
            <w:tcW w:type="dxa" w:w="5040"/>
            <w:tcBorders>
              <w:top w:val="single" w:color="D9D9D9" w:sz="2"/>
              <w:left w:val="none" w:color="FFFFFF" w:sz="0"/>
              <w:bottom w:val="single" w:color="D9D9D9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Inter" w:cs="Inter" w:eastAsia="Inter" w:hAnsi="Inter"/>
                <w:b w:val="false"/>
                <w:bCs w:val="false"/>
                <w:color w:val="111111"/>
                <w:sz w:val="17"/>
                <w:szCs w:val="17"/>
              </w:rPr>
              <w:t xml:space="preserve">Low. $30M Series A (Menlo). Social listening + engagement agents. Different buyer and surface — not an SEO competitor.</w:t>
            </w:r>
          </w:p>
        </w:tc>
      </w:tr>
    </w:tbl>
    <w:p>
      <w:pPr>
        <w:spacing w:after="60" w:line="264"/>
      </w:pPr>
      <w:r>
        <w:rPr>
          <w:rFonts w:ascii="Inter" w:cs="Inter" w:eastAsia="Inter" w:hAnsi="Inter"/>
          <w:b/>
          <w:bCs/>
          <w:color w:val="111111"/>
          <w:sz w:val="19"/>
          <w:szCs w:val="19"/>
        </w:rPr>
        <w:t xml:space="preserve">Read: </w:t>
      </w:r>
      <w:r>
        <w:rPr>
          <w:rFonts w:ascii="Inter" w:cs="Inter" w:eastAsia="Inter" w:hAnsi="Inter"/>
          <w:color w:val="111111"/>
          <w:sz w:val="19"/>
          <w:szCs w:val="19"/>
        </w:rPr>
        <w:t xml:space="preserve">only Profound, Peec, and the incumbents contest our core. Nectar and Typeface are worth naming precisely so the team doesn’t mistake adjacency for competition — or miss that a content buyer already has Typeface.</w:t>
      </w:r>
    </w:p>
    <w:p>
      <w:pPr>
        <w:pStyle w:val="Heading1"/>
        <w:spacing w:after="90" w:before="220"/>
      </w:pPr>
      <w:r>
        <w:rPr>
          <w:rFonts w:ascii="Instrument Serif" w:cs="Instrument Serif" w:eastAsia="Instrument Serif" w:hAnsi="Instrument Serif"/>
          <w:color w:val="111111"/>
          <w:sz w:val="30"/>
          <w:szCs w:val="30"/>
        </w:rPr>
        <w:t xml:space="preserve">Where the vision is genuinely contested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Inter" w:cs="Inter" w:eastAsia="Inter" w:hAnsi="Inter"/>
          <w:b/>
          <w:bCs/>
          <w:color w:val="111111"/>
          <w:sz w:val="19"/>
          <w:szCs w:val="19"/>
        </w:rPr>
        <w:t xml:space="preserve">AI visibility / Share of Model tracking is now table stakes.</w:t>
      </w:r>
      <w:r>
        <w:rPr>
          <w:rFonts w:ascii="Inter" w:cs="Inter" w:eastAsia="Inter" w:hAnsi="Inter"/>
          <w:color w:val="111111"/>
          <w:sz w:val="19"/>
          <w:szCs w:val="19"/>
        </w:rPr>
        <w:t xml:space="preserve"> Profound and Peec do prompt-level monitoring across ChatGPT, Perplexity, Gemini and AI Overviews today. “We measure AI citations” is not a differentiator in 2026.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Inter" w:cs="Inter" w:eastAsia="Inter" w:hAnsi="Inter"/>
          <w:b/>
          <w:bCs/>
          <w:color w:val="111111"/>
          <w:sz w:val="19"/>
          <w:szCs w:val="19"/>
        </w:rPr>
        <w:t xml:space="preserve">Profound already ships an agentic layer.</w:t>
      </w:r>
      <w:r>
        <w:rPr>
          <w:rFonts w:ascii="Inter" w:cs="Inter" w:eastAsia="Inter" w:hAnsi="Inter"/>
          <w:color w:val="111111"/>
          <w:sz w:val="19"/>
          <w:szCs w:val="19"/>
        </w:rPr>
        <w:t xml:space="preserve"> Their “Agents” narrows our claim that “no one executes.” The honest wedge is narrower and stronger: deploy-verify-rollback into the customer’s own CMS/code/GBP, with audit logs — not agent suggestions.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Inter" w:cs="Inter" w:eastAsia="Inter" w:hAnsi="Inter"/>
          <w:b/>
          <w:bCs/>
          <w:color w:val="111111"/>
          <w:sz w:val="19"/>
          <w:szCs w:val="19"/>
        </w:rPr>
        <w:t xml:space="preserve">Incumbents have the distribution.</w:t>
      </w:r>
      <w:r>
        <w:rPr>
          <w:rFonts w:ascii="Inter" w:cs="Inter" w:eastAsia="Inter" w:hAnsi="Inter"/>
          <w:color w:val="111111"/>
          <w:sz w:val="19"/>
          <w:szCs w:val="19"/>
        </w:rPr>
        <w:t xml:space="preserve"> Ahrefs/Semrush can bundle “good-enough” AI tracking to an installed base of millions. We win on entity-first architecture, execution, and price — not on out-measuring them.</w:t>
      </w:r>
    </w:p>
    <w:p>
      <w:pPr>
        <w:pStyle w:val="Heading1"/>
        <w:spacing w:after="90" w:before="220"/>
      </w:pPr>
      <w:r>
        <w:rPr>
          <w:rFonts w:ascii="Instrument Serif" w:cs="Instrument Serif" w:eastAsia="Instrument Serif" w:hAnsi="Instrument Serif"/>
          <w:color w:val="111111"/>
          <w:sz w:val="30"/>
          <w:szCs w:val="30"/>
        </w:rPr>
        <w:t xml:space="preserve">Where the moat still holds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Inter" w:cs="Inter" w:eastAsia="Inter" w:hAnsi="Inter"/>
          <w:b/>
          <w:bCs/>
          <w:color w:val="111111"/>
          <w:sz w:val="19"/>
          <w:szCs w:val="19"/>
        </w:rPr>
        <w:t xml:space="preserve">Execution as the core, not a feature.</w:t>
      </w:r>
      <w:r>
        <w:rPr>
          <w:rFonts w:ascii="Inter" w:cs="Inter" w:eastAsia="Inter" w:hAnsi="Inter"/>
          <w:color w:val="111111"/>
          <w:sz w:val="19"/>
          <w:szCs w:val="19"/>
        </w:rPr>
        <w:t xml:space="preserve"> Proposed → previewed → approved → deployed → measured, with rollback. No pure-GEO player closes this loop into production surfaces.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Inter" w:cs="Inter" w:eastAsia="Inter" w:hAnsi="Inter"/>
          <w:b/>
          <w:bCs/>
          <w:color w:val="111111"/>
          <w:sz w:val="19"/>
          <w:szCs w:val="19"/>
        </w:rPr>
        <w:t xml:space="preserve">Unified SEO + GEO + local on one entity model.</w:t>
      </w:r>
      <w:r>
        <w:rPr>
          <w:rFonts w:ascii="Inter" w:cs="Inter" w:eastAsia="Inter" w:hAnsi="Inter"/>
          <w:color w:val="111111"/>
          <w:sz w:val="19"/>
          <w:szCs w:val="19"/>
        </w:rPr>
        <w:t xml:space="preserve"> GEO startups have no classic-SEO depth; incumbents can’t retrofit the entity graph quickly.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Inter" w:cs="Inter" w:eastAsia="Inter" w:hAnsi="Inter"/>
          <w:b/>
          <w:bCs/>
          <w:color w:val="111111"/>
          <w:sz w:val="19"/>
          <w:szCs w:val="19"/>
        </w:rPr>
        <w:t xml:space="preserve">Vernacular + region-fair pricing.</w:t>
      </w:r>
      <w:r>
        <w:rPr>
          <w:rFonts w:ascii="Inter" w:cs="Inter" w:eastAsia="Inter" w:hAnsi="Inter"/>
          <w:color w:val="111111"/>
          <w:sz w:val="19"/>
          <w:szCs w:val="19"/>
        </w:rPr>
        <w:t xml:space="preserve"> India-first, non-credit pricing is a market the funded US/EU players structurally ignore.</w:t>
      </w:r>
    </w:p>
    <w:p>
      <w:pPr>
        <w:pStyle w:val="Heading1"/>
        <w:spacing w:after="90" w:before="220"/>
      </w:pPr>
      <w:r>
        <w:rPr>
          <w:rFonts w:ascii="Instrument Serif" w:cs="Instrument Serif" w:eastAsia="Instrument Serif" w:hAnsi="Instrument Serif"/>
          <w:color w:val="111111"/>
          <w:sz w:val="30"/>
          <w:szCs w:val="30"/>
        </w:rPr>
        <w:t xml:space="preserve">Recommendation</w:t>
      </w:r>
    </w:p>
    <w:p>
      <w:pPr>
        <w:spacing w:after="40" w:line="264"/>
      </w:pPr>
      <w:r>
        <w:rPr>
          <w:rFonts w:ascii="Inter" w:cs="Inter" w:eastAsia="Inter" w:hAnsi="Inter"/>
          <w:color w:val="111111"/>
          <w:sz w:val="19"/>
          <w:szCs w:val="19"/>
        </w:rPr>
        <w:t xml:space="preserve">The conviction is directionally right, but “measure AI visibility” is a crowded, well-capitalized race we’d enter late. Reframe the pitch around the </w:t>
      </w:r>
      <w:r>
        <w:rPr>
          <w:rFonts w:ascii="Inter" w:cs="Inter" w:eastAsia="Inter" w:hAnsi="Inter"/>
          <w:b/>
          <w:bCs/>
          <w:color w:val="111111"/>
          <w:sz w:val="19"/>
          <w:szCs w:val="19"/>
        </w:rPr>
        <w:t xml:space="preserve">Fix Queue as the product</w:t>
      </w:r>
      <w:r>
        <w:rPr>
          <w:rFonts w:ascii="Inter" w:cs="Inter" w:eastAsia="Inter" w:hAnsi="Inter"/>
          <w:color w:val="111111"/>
          <w:sz w:val="19"/>
          <w:szCs w:val="19"/>
        </w:rPr>
        <w:t xml:space="preserve"> and treat visibility tracking as the necessary input, not the headline. Before building, do a hands-on teardown of Profound Agents to pin down exactly what “execution” they already ship — that single fact most sharpens or shrinks our wedge.</w:t>
      </w:r>
    </w:p>
    <w:p>
      <w:pPr>
        <w:spacing w:before="160"/>
      </w:pPr>
      <w:r>
        <w:rPr>
          <w:rFonts w:ascii="Inter" w:cs="Inter" w:eastAsia="Inter" w:hAnsi="Inter"/>
          <w:i/>
          <w:iCs/>
          <w:color w:val="555555"/>
          <w:sz w:val="15"/>
          <w:szCs w:val="15"/>
        </w:rPr>
        <w:t xml:space="preserve">Sources: TechCrunch, Menlo Ventures, everything-pr, TechFundingNews, typeface.ai (2025–26). Valuations/ARR are reported figures, directional.</w:t>
      </w:r>
    </w:p>
    <w:sectPr>
      <w:pgSz w:w="12240" w:h="15840" w:orient="portrait"/>
      <w:pgMar w:top="1080" w:right="1440" w:bottom="10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  <w:rPr>
        <w:color w:val="1A5E5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11111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2026-07-14T02:18:34.273Z</dcterms:created>
  <dcterms:modified xsi:type="dcterms:W3CDTF">2026-07-14T02:18:34.273Z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