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18:11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150.0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150.0 кг/ч;</w:t>
        <w:br/>
        <w:t>• Поступление Cl: 0.4508 кг/ч (0.301%) -&gt; выход HCl = 0.454 кг/ч;</w:t>
        <w:br/>
        <w:t>• Поступление S: 0.3472 кг/ч (0.231%) -&gt; выход SO₂ = 0.624 кг/ч;</w:t>
        <w:br/>
        <w:t>• Поступление органического C: 77.86 кг/ч -&gt; выход CO₂ (связываемого) = 22.368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50.76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1218.3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444.69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338.42 кг/ч (290.0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6.959 м³/сут / 2964.6 т/год (2540.1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50.76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62.84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1218.3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1508.2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444.69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550.50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338.4 (290)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419.0 (359)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6.959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8.615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2964.6 (2540.1)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3670.0 (3144.6)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105.81 т/год (705.4 т/год 15% раствора при 365 рабочих днях).</w:t>
        <w:br/>
        <w:br/>
        <w:t>2. Для Установки утилизации ТБО (150.0 кг/ч) годовой расход чистого 100% NaOH составляет 444.69 т/год (2964.6 т/год 15% раствора).</w:t>
        <w:br/>
        <w:br/>
        <w:t>3. Суммарная годовая потребность комплекса термического обезвреживания в чистом NaOH составляет 550.50 т/год (или 3670.0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