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18:36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1: Молодой полигон (кислая фаза) (по СП 320.1325800.2017, Таблица Г.1);</w:t>
        <w:br/>
        <w:t>• Концентрация хлорид-ионов (Cl⁻): 5000.0 мг/дм³ -&gt; Поступление Cl: 7.500 кг/ч;</w:t>
        <w:br/>
        <w:t>• Концентрация сульфат-ионов (SO₄²⁻): 1500.0 мг/дм³ -&gt; Поступление S: 0.751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7.500 кг/ч, S = 0.751 кг/ч.</w:t>
        <w:br/>
        <w:t>Выход кислых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 кг/кг (63.1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10.74 кг/ч (9.2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0.221 м³/сут / 94.0 т/год (80.6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91.3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0.221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1.877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94.0 (80.6)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799.5 (685.0)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кг/м³);</w:t>
        <w:br/>
        <w:t xml:space="preserve">   • Годовой расход чистого 100% NaOH: 105.81 т/год (705.4 т/год 15% раствора);</w:t>
        <w:br/>
        <w:t xml:space="preserve">   • Емкость склада реагента на 7 суток автономной работы: 13.3 м³.</w:t>
        <w:br/>
        <w:br/>
        <w:t>2. Для Установки утилизации ТБО (170 кг/ч):</w:t>
        <w:br/>
        <w:t xml:space="preserve">   • Удельный расход реагента: 0.0095 кг чистого NaOH на 1 кг ТБО (9.5 г/кг);</w:t>
        <w:br/>
        <w:t xml:space="preserve">   • Годовой расход чистого 100% NaOH: 14.11 т/год (94.0 т/год 15% раствора);</w:t>
        <w:br/>
        <w:t xml:space="preserve">   • Емкость склада реагента на 7 суток автономной работы: 1.8 м³.</w:t>
        <w:br/>
        <w:br/>
        <w:t>3. Суммарная годовая потребность комплекса термического обезвреживания:</w:t>
        <w:br/>
        <w:t xml:space="preserve">   • Чистый 100% NaOH: 119.92 т/год (328.5 кг/сут);</w:t>
        <w:br/>
        <w:t xml:space="preserve">   • Рабочий 15% раствор щелочи: 799.5 т/год (685.0 м³/год);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