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numPr>
          <w:ilvl w:val="0"/>
          <w:numId w:val="1001"/>
        </w:numPr>
        <w:pStyle w:val="Compact"/>
      </w:pPr>
      <w:r>
        <w:t xml:space="preserve">what is a LANDFIRE? What is a LANDFIRE BpS model?</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r>
        <w:t xml:space="preserve">Starting in 2005 the</w:t>
      </w:r>
      <w:r>
        <w:t xml:space="preserve"> </w:t>
      </w:r>
      <w:hyperlink r:id="rId22">
        <w:r>
          <w:rPr>
            <w:rStyle w:val="Hyperlink"/>
          </w:rPr>
          <w:t xml:space="preserve">LANDFIRE</w:t>
        </w:r>
      </w:hyperlink>
      <w:r>
        <w:t xml:space="preserve"> </w:t>
      </w:r>
      <w:r>
        <w:t xml:space="preserve">program initiated the development of</w:t>
      </w:r>
      <w:r>
        <w:t xml:space="preserve"> </w:t>
      </w:r>
      <w:r>
        <w:rPr>
          <w:b/>
        </w:rPr>
        <w:t xml:space="preserve">Biophysical Settings</w:t>
      </w:r>
      <w:r>
        <w:t xml:space="preserve"> </w:t>
      </w:r>
      <w:r>
        <w:t xml:space="preserve">and models. These products represent ecosystems under natural disturbance regimes, capturing how they</w:t>
      </w:r>
      <w:r>
        <w:t xml:space="preserve"> </w:t>
      </w:r>
      <w:r>
        <w:t xml:space="preserve">“</w:t>
      </w:r>
      <w:r>
        <w:t xml:space="preserve">looked</w:t>
      </w:r>
      <w:r>
        <w:t xml:space="preserve">”</w:t>
      </w:r>
      <w:r>
        <w:t xml:space="preserve"> </w:t>
      </w:r>
      <w:r>
        <w:t xml:space="preserve">(e.g., structure and composition) and</w:t>
      </w:r>
      <w:r>
        <w:t xml:space="preserve"> </w:t>
      </w:r>
      <w:r>
        <w:t xml:space="preserve">“</w:t>
      </w:r>
      <w:r>
        <w:t xml:space="preserve">functioned</w:t>
      </w:r>
      <w:r>
        <w:t xml:space="preserve">”</w:t>
      </w:r>
      <w:r>
        <w:t xml:space="preserve"> </w:t>
      </w:r>
      <w:r>
        <w:t xml:space="preserve">(e.g., succession and disturbances). The descriptions are text; the models are in the software SyncroSim (</w:t>
      </w:r>
      <w:hyperlink r:id="rId24">
        <w:r>
          <w:rPr>
            <w:rStyle w:val="Hyperlink"/>
          </w:rPr>
          <w:t xml:space="preserve">https://syncrosim.com/</w:t>
        </w:r>
      </w:hyperlink>
      <w:r>
        <w:t xml:space="preserve">).</w:t>
      </w:r>
      <w:r>
        <w:t xml:space="preserve"> </w:t>
      </w:r>
    </w:p>
    <w:p>
      <w:pPr>
        <w:pStyle w:val="BodyText"/>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5">
        <w:r>
          <w:rPr>
            <w:rStyle w:val="Hyperlink"/>
            <w:b/>
          </w:rPr>
          <w:t xml:space="preserve">LANDFIRE Vegetation Departure (VDep)</w:t>
        </w:r>
      </w:hyperlink>
      <w:r>
        <w:t xml:space="preserve"> </w:t>
      </w:r>
      <w:r>
        <w:t xml:space="preserve">indicates how different current vegetation on a landscape is from estimated reference conditions. VDep is based on:</w:t>
      </w:r>
    </w:p>
    <w:p>
      <w:pPr>
        <w:numPr>
          <w:ilvl w:val="0"/>
          <w:numId w:val="1002"/>
        </w:numPr>
        <w:pStyle w:val="Compact"/>
      </w:pPr>
      <w:r>
        <w:t xml:space="preserve">changes to species composition</w:t>
      </w:r>
    </w:p>
    <w:p>
      <w:pPr>
        <w:numPr>
          <w:ilvl w:val="0"/>
          <w:numId w:val="1002"/>
        </w:numPr>
        <w:pStyle w:val="Compact"/>
      </w:pPr>
      <w:r>
        <w:t xml:space="preserve">structural stage,</w:t>
      </w:r>
    </w:p>
    <w:p>
      <w:pPr>
        <w:numPr>
          <w:ilvl w:val="0"/>
          <w:numId w:val="1002"/>
        </w:numPr>
        <w:pStyle w:val="Compact"/>
      </w:pPr>
      <w:r>
        <w:t xml:space="preserve">canopy closure (using methods originally described in the</w:t>
      </w:r>
      <w:r>
        <w:t xml:space="preserve"> </w:t>
      </w:r>
      <w:hyperlink r:id="rId26">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numPr>
          <w:ilvl w:val="0"/>
          <w:numId w:val="1003"/>
        </w:numPr>
        <w:pStyle w:val="Compact"/>
      </w:pPr>
      <w:hyperlink r:id="rId25">
        <w:r>
          <w:rPr>
            <w:rStyle w:val="Hyperlink"/>
          </w:rPr>
          <w:t xml:space="preserve">LANDFIRE VDep</w:t>
        </w:r>
      </w:hyperlink>
      <w:r>
        <w:t xml:space="preserve"> </w:t>
      </w:r>
      <w:r>
        <w:t xml:space="preserve">is based only on departure of current vegetation conditions from reference vegetation conditions</w:t>
      </w:r>
    </w:p>
    <w:p>
      <w:pPr>
        <w:numPr>
          <w:ilvl w:val="0"/>
          <w:numId w:val="1003"/>
        </w:numPr>
        <w:pStyle w:val="Compact"/>
      </w:pPr>
      <w:hyperlink r:id="rId26">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7" w:name="steps-to-developing-reference-conditions"/>
      <w:r>
        <w:t xml:space="preserve">Steps to developing reference conditions:</w:t>
      </w:r>
      <w:bookmarkEnd w:id="27"/>
    </w:p>
    <w:p>
      <w:pPr>
        <w:numPr>
          <w:ilvl w:val="0"/>
          <w:numId w:val="1004"/>
        </w:numPr>
        <w:pStyle w:val="Compact"/>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numPr>
          <w:ilvl w:val="0"/>
          <w:numId w:val="1004"/>
        </w:numPr>
        <w:pStyle w:val="Compact"/>
      </w:pPr>
      <w:r>
        <w:t xml:space="preserve">The LANDFIRE team held expert workshops to:</w:t>
      </w:r>
    </w:p>
    <w:p>
      <w:pPr>
        <w:numPr>
          <w:ilvl w:val="1"/>
          <w:numId w:val="1005"/>
        </w:numPr>
        <w:pStyle w:val="Compact"/>
      </w:pPr>
      <w:r>
        <w:rPr>
          <w:b/>
        </w:rPr>
        <w:t xml:space="preserve">Describe the BpSs</w:t>
      </w:r>
      <w:r>
        <w:t xml:space="preserve">, including their nested Succession Classes, up to 5 for each BpS including their canopy height, composition and percent cover.</w:t>
      </w:r>
    </w:p>
    <w:p>
      <w:pPr>
        <w:numPr>
          <w:ilvl w:val="1"/>
          <w:numId w:val="1005"/>
        </w:numPr>
        <w:pStyle w:val="Compact"/>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8" w:name="parts-of-a-bps"/>
      <w:r>
        <w:t xml:space="preserve">Parts of a BpS</w:t>
      </w:r>
      <w:bookmarkEnd w:id="28"/>
    </w:p>
    <w:p>
      <w:pPr>
        <w:pStyle w:val="FirstParagraph"/>
      </w:pPr>
      <w:r>
        <w:t xml:space="preserve">Each BpS (e.g., Montane Sagebrush Steppe) has 3 associated products:</w:t>
      </w:r>
    </w:p>
    <w:p>
      <w:pPr>
        <w:numPr>
          <w:ilvl w:val="0"/>
          <w:numId w:val="1006"/>
        </w:numPr>
        <w:pStyle w:val="Compact"/>
      </w:pPr>
      <w:r>
        <w:t xml:space="preserve">Description</w:t>
      </w:r>
    </w:p>
    <w:p>
      <w:pPr>
        <w:numPr>
          <w:ilvl w:val="0"/>
          <w:numId w:val="1006"/>
        </w:numPr>
        <w:pStyle w:val="Compact"/>
      </w:pPr>
      <w:r>
        <w:t xml:space="preserve">State and transition model</w:t>
      </w:r>
    </w:p>
    <w:p>
      <w:pPr>
        <w:numPr>
          <w:ilvl w:val="0"/>
          <w:numId w:val="1006"/>
        </w:numPr>
        <w:pStyle w:val="Compact"/>
      </w:pPr>
      <w:r>
        <w:t xml:space="preserve">Spatial data (not described here)</w:t>
      </w:r>
    </w:p>
    <w:p>
      <w:pPr>
        <w:pStyle w:val="FirstParagraph"/>
      </w:pPr>
    </w:p>
    <w:p>
      <w:pPr>
        <w:pStyle w:val="Heading4"/>
      </w:pPr>
      <w:bookmarkStart w:id="29" w:name="descriptions"/>
      <w:r>
        <w:t xml:space="preserve">Descriptions</w:t>
      </w:r>
      <w:bookmarkEnd w:id="29"/>
    </w:p>
    <w:p>
      <w:pPr>
        <w:pStyle w:val="FirstParagraph"/>
      </w:pPr>
      <w:r>
        <w:t xml:space="preserve">Each BpS has an extensive description including information on:</w:t>
      </w:r>
    </w:p>
    <w:p>
      <w:pPr>
        <w:numPr>
          <w:ilvl w:val="0"/>
          <w:numId w:val="1007"/>
        </w:numPr>
        <w:pStyle w:val="Compact"/>
      </w:pPr>
      <w:r>
        <w:t xml:space="preserve">Biophysical Setting Name and Number</w:t>
      </w:r>
    </w:p>
    <w:p>
      <w:pPr>
        <w:numPr>
          <w:ilvl w:val="0"/>
          <w:numId w:val="1007"/>
        </w:numPr>
        <w:pStyle w:val="Compact"/>
      </w:pPr>
      <w:r>
        <w:t xml:space="preserve">Map Zones the description covers</w:t>
      </w:r>
    </w:p>
    <w:p>
      <w:pPr>
        <w:numPr>
          <w:ilvl w:val="0"/>
          <w:numId w:val="1007"/>
        </w:numPr>
        <w:pStyle w:val="Compact"/>
      </w:pPr>
      <w:r>
        <w:t xml:space="preserve">Descriptive Geographic Range text</w:t>
      </w:r>
    </w:p>
    <w:p>
      <w:pPr>
        <w:numPr>
          <w:ilvl w:val="0"/>
          <w:numId w:val="1007"/>
        </w:numPr>
        <w:pStyle w:val="Compact"/>
      </w:pPr>
      <w:r>
        <w:t xml:space="preserve">Biophysical Site Description</w:t>
      </w:r>
    </w:p>
    <w:p>
      <w:pPr>
        <w:numPr>
          <w:ilvl w:val="0"/>
          <w:numId w:val="1007"/>
        </w:numPr>
        <w:pStyle w:val="Compact"/>
      </w:pPr>
      <w:r>
        <w:t xml:space="preserve">Disturbance description</w:t>
      </w:r>
    </w:p>
    <w:p>
      <w:pPr>
        <w:numPr>
          <w:ilvl w:val="0"/>
          <w:numId w:val="1007"/>
        </w:numPr>
        <w:pStyle w:val="Compact"/>
      </w:pPr>
      <w:r>
        <w:t xml:space="preserve">Descriptions of each succession class</w:t>
      </w:r>
    </w:p>
    <w:p>
      <w:pPr>
        <w:numPr>
          <w:ilvl w:val="0"/>
          <w:numId w:val="1007"/>
        </w:numPr>
        <w:pStyle w:val="Compact"/>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0" w:name="models"/>
      <w:r>
        <w:t xml:space="preserve">Models</w:t>
      </w:r>
      <w:bookmarkEnd w:id="30"/>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1" w:name="application-scale-of-the-models"/>
      <w:r>
        <w:t xml:space="preserve">Application scale of the models</w:t>
      </w:r>
      <w:bookmarkEnd w:id="31"/>
    </w:p>
    <w:p>
      <w:pPr>
        <w:pStyle w:val="FirstParagraph"/>
      </w:pPr>
      <w:r>
        <w:t xml:space="preserve">Importantly, these models and descriptions were designed for use over large areas-not your back yard. How large you ask? It depends on many factors:</w:t>
      </w:r>
    </w:p>
    <w:p>
      <w:pPr>
        <w:numPr>
          <w:ilvl w:val="0"/>
          <w:numId w:val="1008"/>
        </w:numPr>
        <w:pStyle w:val="Compact"/>
      </w:pPr>
      <w:r>
        <w:t xml:space="preserve">How much review, and how comfortable users are with the information included in the models</w:t>
      </w:r>
    </w:p>
    <w:p>
      <w:pPr>
        <w:numPr>
          <w:ilvl w:val="0"/>
          <w:numId w:val="1008"/>
        </w:numPr>
        <w:pStyle w:val="Compact"/>
      </w:pPr>
      <w:r>
        <w:t xml:space="preserve">How important the decisions are, and how much risk is involved</w:t>
      </w:r>
    </w:p>
    <w:p>
      <w:pPr>
        <w:numPr>
          <w:ilvl w:val="0"/>
          <w:numId w:val="1008"/>
        </w:numPr>
        <w:pStyle w:val="Compact"/>
      </w:pPr>
      <w:r>
        <w:t xml:space="preserve">How much supporting information there is</w:t>
      </w:r>
    </w:p>
    <w:p>
      <w:pPr>
        <w:pStyle w:val="FirstParagraph"/>
      </w:pPr>
    </w:p>
    <w:p>
      <w:pPr>
        <w:pStyle w:val="Heading3"/>
      </w:pPr>
      <w:bookmarkStart w:id="32" w:name="for-more-information"/>
      <w:r>
        <w:t xml:space="preserve">For more information</w:t>
      </w:r>
      <w:bookmarkEnd w:id="32"/>
    </w:p>
    <w:p>
      <w:pPr>
        <w:numPr>
          <w:ilvl w:val="0"/>
          <w:numId w:val="1009"/>
        </w:numPr>
        <w:pStyle w:val="Compact"/>
      </w:pPr>
      <w:hyperlink r:id="rId33">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2020-07-14T21:14:35Z</dcterms:created>
  <dcterms:modified xsi:type="dcterms:W3CDTF">2020-07-14T21:14:35Z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