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13B69F83"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r w:rsidR="008E0E50" w:rsidRPr="006C26F9">
              <w:rPr>
                <w:rFonts w:ascii="Times New Roman" w:hAnsi="Times New Roman" w:cs="Times New Roman"/>
                <w:b/>
                <w:bCs/>
                <w:sz w:val="30"/>
                <w:szCs w:val="30"/>
              </w:rPr>
              <w:t xml:space="preserve">TLDR: </w:t>
            </w:r>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Nattapat Juthaprachakul                        Siyu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166C0C99" w:rsidR="008E0E50" w:rsidRPr="006C26F9" w:rsidRDefault="00521291" w:rsidP="008E0E50">
      <w:pPr>
        <w:pStyle w:val="ACLAbstractText"/>
      </w:pPr>
      <w:r w:rsidRPr="006C26F9">
        <w:t>In this paper, we explored several neural</w:t>
      </w:r>
      <w:r w:rsidR="00C11A93">
        <w:t xml:space="preserve"> network</w:t>
      </w:r>
      <w:r w:rsidRPr="006C26F9">
        <w:t>-based approaches to tackle the challenge of abstractive text summarization on news articles. The methods include vanilla sequence-to-sequence models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428A419D"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we can gain key information from articles and documents without reading through the whole article</w:t>
      </w:r>
      <w:r w:rsidR="00D828A1">
        <w:rPr>
          <w:rFonts w:ascii="Times New Roman" w:eastAsia="Times New Roman" w:hAnsi="Times New Roman" w:cs="Times New Roman"/>
          <w:color w:val="000000" w:themeColor="text1"/>
          <w:lang w:val="en-GB" w:eastAsia="en-GB" w:bidi="th-TH"/>
        </w:rPr>
        <w:t>s</w:t>
      </w:r>
      <w:r w:rsidRPr="006C26F9">
        <w:rPr>
          <w:rFonts w:ascii="Times New Roman" w:eastAsia="Times New Roman" w:hAnsi="Times New Roman" w:cs="Times New Roman"/>
          <w:color w:val="000000" w:themeColor="text1"/>
          <w:lang w:val="en-GB" w:eastAsia="en-GB" w:bidi="th-TH"/>
        </w:rPr>
        <w:t>. This helps us save much time and effort.</w:t>
      </w:r>
    </w:p>
    <w:p w14:paraId="0537FBEA" w14:textId="2A6CA3AC"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w:t>
      </w:r>
      <w:r w:rsidR="009F595C">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list of final projects from the last term and term before last term</w:t>
      </w:r>
      <w:r w:rsidR="00BE71E7">
        <w:rPr>
          <w:rFonts w:ascii="Times New Roman" w:eastAsia="Times New Roman" w:hAnsi="Times New Roman" w:cs="Times New Roman"/>
          <w:color w:val="000000" w:themeColor="text1"/>
          <w:lang w:val="en-GB" w:eastAsia="en-GB" w:bidi="th-TH"/>
        </w:rPr>
        <w:t xml:space="preserve"> and</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5750B7F0"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Lastly, we now have an opportunity to implement several techniques we have learnt from this class such as sequence-to-sequence </w:t>
      </w:r>
      <w:r w:rsidR="00852049">
        <w:rPr>
          <w:rFonts w:ascii="Times New Roman" w:eastAsia="Times New Roman" w:hAnsi="Times New Roman" w:cs="Times New Roman"/>
          <w:color w:val="000000" w:themeColor="text1"/>
          <w:lang w:val="en-GB" w:eastAsia="en-GB" w:bidi="th-TH"/>
        </w:rPr>
        <w:t xml:space="preserve">models </w:t>
      </w:r>
      <w:r w:rsidRPr="006C26F9">
        <w:rPr>
          <w:rFonts w:ascii="Times New Roman" w:eastAsia="Times New Roman" w:hAnsi="Times New Roman" w:cs="Times New Roman"/>
          <w:color w:val="000000" w:themeColor="text1"/>
          <w:lang w:val="en-GB" w:eastAsia="en-GB" w:bidi="th-TH"/>
        </w:rPr>
        <w:t>and transformer models</w:t>
      </w:r>
      <w:r w:rsidR="00852049">
        <w:rPr>
          <w:rFonts w:ascii="Times New Roman" w:eastAsia="Times New Roman" w:hAnsi="Times New Roman" w:cs="Times New Roman"/>
          <w:color w:val="000000" w:themeColor="text1"/>
          <w:lang w:val="en-GB" w:eastAsia="en-GB" w:bidi="th-TH"/>
        </w:rPr>
        <w:t xml:space="preserve"> </w:t>
      </w:r>
      <w:r w:rsidR="00852049" w:rsidRPr="006C26F9">
        <w:rPr>
          <w:rFonts w:ascii="Times New Roman" w:eastAsia="Times New Roman" w:hAnsi="Times New Roman" w:cs="Times New Roman"/>
          <w:color w:val="000000" w:themeColor="text1"/>
          <w:lang w:val="en-GB" w:eastAsia="en-GB" w:bidi="th-TH"/>
        </w:rPr>
        <w:t>with real-world dataset</w:t>
      </w:r>
      <w:r w:rsidRPr="006C26F9">
        <w:rPr>
          <w:rFonts w:ascii="Times New Roman" w:eastAsia="Times New Roman" w:hAnsi="Times New Roman" w:cs="Times New Roman"/>
          <w:color w:val="000000" w:themeColor="text1"/>
          <w:lang w:val="en-GB" w:eastAsia="en-GB" w:bidi="th-TH"/>
        </w:rPr>
        <w:t>.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77777777" w:rsidR="00080580" w:rsidRPr="006C26F9" w:rsidRDefault="00AE2F20" w:rsidP="003D51D5">
      <w:pPr>
        <w:pStyle w:val="ACLTextFirstLine"/>
        <w:ind w:firstLine="0"/>
      </w:pPr>
      <w:r w:rsidRPr="006C26F9">
        <w:t>For neural network techniques, they are generally either sentence-extractive (choosing a lot of sentences as a summary) or abstractive (creating a summary from a sequence-to-sequence model).</w:t>
      </w:r>
    </w:p>
    <w:p w14:paraId="77CE5F09" w14:textId="6548884D"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w:t>
      </w:r>
      <w:r w:rsidR="00894970">
        <w:t xml:space="preserve">eural </w:t>
      </w:r>
      <w:r w:rsidR="00085B21" w:rsidRPr="006C26F9">
        <w:t>M</w:t>
      </w:r>
      <w:r w:rsidR="00894970">
        <w:t>achine Translation and text classification</w:t>
      </w:r>
      <w:r w:rsidR="00085B21" w:rsidRPr="006C26F9">
        <w:t xml:space="preserve">, </w:t>
      </w:r>
      <w:r w:rsidR="00AE2F20" w:rsidRPr="006C26F9">
        <w:t xml:space="preserve">abstractive </w:t>
      </w:r>
      <w:r w:rsidR="00894970">
        <w:t xml:space="preserve">text </w:t>
      </w:r>
      <w:r w:rsidR="00AE2F20" w:rsidRPr="006C26F9">
        <w:t>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7BE47A4C" w:rsidR="00131FDB" w:rsidRPr="006C26F9" w:rsidRDefault="00201C73" w:rsidP="00AE2F20">
      <w:pPr>
        <w:pStyle w:val="ACLTextFirstLine"/>
        <w:ind w:firstLine="0"/>
      </w:pPr>
      <w:r w:rsidRPr="006C26F9">
        <w:t>Nonetheless, t</w:t>
      </w:r>
      <w:r w:rsidR="001F2220" w:rsidRPr="006C26F9">
        <w:t xml:space="preserve">he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 xml:space="preserve">do abstractive summarization </w:t>
      </w:r>
      <w:r w:rsidR="00ED3123">
        <w:t>for</w:t>
      </w:r>
      <w:r w:rsidR="00085B21" w:rsidRPr="006C26F9">
        <w:t xml:space="preserve"> a very long sentence.</w:t>
      </w:r>
    </w:p>
    <w:p w14:paraId="6387AD46" w14:textId="667A74BB" w:rsidR="00595DA1" w:rsidRPr="006C26F9" w:rsidRDefault="00595DA1" w:rsidP="00595DA1">
      <w:pPr>
        <w:pStyle w:val="ACLSection"/>
      </w:pPr>
      <w:r w:rsidRPr="006C26F9">
        <w:t>Approach</w:t>
      </w:r>
    </w:p>
    <w:p w14:paraId="67982FF6" w14:textId="2C137F43" w:rsidR="00595DA1" w:rsidRPr="006C26F9" w:rsidRDefault="00595DA1" w:rsidP="002C54B6">
      <w:pPr>
        <w:pStyle w:val="ACLText"/>
      </w:pPr>
      <w:r w:rsidRPr="006C26F9">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632594E" w14:textId="04AB2C4F" w:rsidR="001F7D4A" w:rsidRPr="006C26F9" w:rsidRDefault="00595DA1" w:rsidP="00254615">
      <w:pPr>
        <w:pStyle w:val="ACLText"/>
      </w:pPr>
      <w:r w:rsidRPr="006C26F9">
        <w:t>We have tried an extractive approach such as a frequency-based technique, but we find that the result</w:t>
      </w:r>
      <w:r w:rsidR="002C54B6" w:rsidRPr="006C26F9">
        <w:t>s</w:t>
      </w:r>
      <w:r w:rsidRPr="006C26F9">
        <w:t xml:space="preserve"> are not suitable for comparison with the neural-based approaches. In addition, CNN/Daily Mail dataset </w:t>
      </w:r>
      <w:r w:rsidR="00F35938" w:rsidRPr="006C26F9">
        <w:t xml:space="preserve">[5] </w:t>
      </w:r>
      <w:r w:rsidRPr="006C26F9">
        <w:t xml:space="preserve">is commonly used for the abstractive summarization. </w:t>
      </w:r>
    </w:p>
    <w:p w14:paraId="46611E09" w14:textId="4AD33125" w:rsidR="00254615" w:rsidRPr="006C26F9" w:rsidRDefault="006C6AF0" w:rsidP="006C6AF0">
      <w:pPr>
        <w:pStyle w:val="ACLSubsection"/>
        <w:numPr>
          <w:ilvl w:val="0"/>
          <w:numId w:val="0"/>
        </w:numPr>
      </w:pPr>
      <w:r>
        <w:t xml:space="preserve">3.1 </w:t>
      </w:r>
      <w:r w:rsidR="00254615" w:rsidRPr="006C26F9">
        <w:t>Model 1: LSTM sequence-to-sequence model</w:t>
      </w:r>
    </w:p>
    <w:p w14:paraId="550B7F56" w14:textId="0E6DC297" w:rsidR="008C39FF" w:rsidRDefault="008578D9" w:rsidP="008C39FF">
      <w:pPr>
        <w:pStyle w:val="ACLText"/>
        <w:rPr>
          <w:bCs/>
        </w:rPr>
      </w:pPr>
      <w:r w:rsidRPr="006C26F9">
        <w:t>Our baseline model is a vanilla LSTM model without attention</w:t>
      </w:r>
      <w:r w:rsidR="00981B2E" w:rsidRPr="006C26F9">
        <w:t xml:space="preserve"> </w:t>
      </w:r>
      <w:r w:rsidR="00AA2168" w:rsidRPr="006C26F9">
        <w:t xml:space="preserve">[1] </w:t>
      </w:r>
      <w:r w:rsidR="006C6AF0">
        <w:t>which</w:t>
      </w:r>
      <w:r w:rsidRPr="006C26F9">
        <w:rPr>
          <w:bCs/>
        </w:rPr>
        <w:t xml:space="preserve"> is a general Deep learning-based architecture used in NLP sequence-to-sequence tasks. Generally, </w:t>
      </w:r>
      <w:r w:rsidRPr="006C26F9">
        <w:t>we use LSTM with an encoder-decoder architecture inspired by Neural Machine Translation and summaries are generated from the decoder, using target vocabulary.</w:t>
      </w:r>
      <w:r w:rsidRPr="006C26F9">
        <w:rPr>
          <w:bCs/>
        </w:rPr>
        <w:t xml:space="preserve"> </w:t>
      </w:r>
      <w:r w:rsidR="0058685E">
        <w:rPr>
          <w:bCs/>
        </w:rPr>
        <w:t>We train them from scratch and t</w:t>
      </w:r>
      <w:r w:rsidRPr="006C26F9">
        <w:rPr>
          <w:bCs/>
        </w:rPr>
        <w:t>his model provides us a baseline of the training time and accuracy</w:t>
      </w:r>
      <w:r w:rsidR="00981B2E" w:rsidRPr="006C26F9">
        <w:rPr>
          <w:bCs/>
        </w:rPr>
        <w:t>; thus, it</w:t>
      </w:r>
      <w:r w:rsidRPr="006C26F9">
        <w:rPr>
          <w:bCs/>
        </w:rPr>
        <w:t xml:space="preserve"> helps us better understand how much the improvement of other Deep learning-based </w:t>
      </w:r>
      <w:r w:rsidRPr="006C26F9">
        <w:rPr>
          <w:bCs/>
        </w:rPr>
        <w:t>approaches could offer regarding both accuracy and efficiency.</w:t>
      </w:r>
    </w:p>
    <w:p w14:paraId="41444243" w14:textId="77777777" w:rsidR="002F3339" w:rsidRPr="002F3339" w:rsidRDefault="002F3339" w:rsidP="002F3339">
      <w:pPr>
        <w:pStyle w:val="ACLTextFirstLine"/>
      </w:pPr>
    </w:p>
    <w:p w14:paraId="7E213E51" w14:textId="23113368" w:rsidR="008C39FF" w:rsidRDefault="008578D9" w:rsidP="006C6AF0">
      <w:pPr>
        <w:pStyle w:val="Heading2"/>
        <w:numPr>
          <w:ilvl w:val="1"/>
          <w:numId w:val="16"/>
        </w:numPr>
        <w:rPr>
          <w:rFonts w:ascii="Times New Roman" w:hAnsi="Times New Roman" w:cs="Times New Roman"/>
          <w:b/>
          <w:bCs/>
          <w:color w:val="000000" w:themeColor="text1"/>
          <w:sz w:val="22"/>
          <w:szCs w:val="22"/>
        </w:rPr>
      </w:pPr>
      <w:r w:rsidRPr="006C6AF0">
        <w:rPr>
          <w:rFonts w:ascii="Times New Roman" w:hAnsi="Times New Roman" w:cs="Times New Roman"/>
          <w:b/>
          <w:bCs/>
          <w:color w:val="000000" w:themeColor="text1"/>
          <w:sz w:val="22"/>
          <w:szCs w:val="22"/>
        </w:rPr>
        <w:t>Model 2: Fine-tuned transformer</w:t>
      </w:r>
    </w:p>
    <w:p w14:paraId="35140EC0" w14:textId="415F0ECA" w:rsidR="008C39FF" w:rsidRPr="006C26F9" w:rsidRDefault="00981B2E" w:rsidP="007623E7">
      <w:pPr>
        <w:pStyle w:val="ACLText"/>
      </w:pPr>
      <w:r w:rsidRPr="006C26F9">
        <w:t>For our second model, we finetune the BART-base</w:t>
      </w:r>
      <w:r w:rsidR="00AA2168" w:rsidRPr="006C26F9">
        <w:t xml:space="preserve"> </w:t>
      </w:r>
      <w:r w:rsidRPr="006C26F9">
        <w:t>model on our pre-processed dataset. BART-base is a pre-trained transformer model by Facebook trained on XSum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 (NMT architecture) with a bidirectional encoder (similar to BERT [7]) and a left-to-right decoder (similar to GPT [8]).</w:t>
      </w:r>
      <w:r w:rsidR="001E4AF3" w:rsidRPr="006C26F9">
        <w:t xml:space="preserve"> It is 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2D6ABA50"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First, text is corrupted with an arbitrary noising function. The second stage is that a sequence-to-sequence model is learned to reconstruct the original text. BART uses a standard Transformer-based NMT architecture, which can be seen as generalizing BERT because of the bidirectional encoder.</w:t>
      </w:r>
    </w:p>
    <w:p w14:paraId="727A5E42" w14:textId="2DFC40D2" w:rsidR="003C5A59" w:rsidRPr="006C26F9" w:rsidRDefault="003C5A59" w:rsidP="0003048E">
      <w:pPr>
        <w:pStyle w:val="ACLTextFirstLine"/>
        <w:ind w:firstLine="0"/>
      </w:pPr>
      <w:r w:rsidRPr="006C26F9">
        <w:rPr>
          <w:noProof/>
        </w:rPr>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75015635" w:rsidR="0003048E" w:rsidRPr="006C26F9" w:rsidRDefault="0003048E" w:rsidP="0003048E">
      <w:pPr>
        <w:rPr>
          <w:rFonts w:ascii="Times New Roman" w:eastAsia="Times New Roman" w:hAnsi="Times New Roman" w:cs="Times New Roman"/>
          <w:spacing w:val="-2"/>
          <w:kern w:val="16"/>
          <w:lang w:eastAsia="de-DE"/>
        </w:rPr>
      </w:pPr>
      <w:bookmarkStart w:id="1" w:name="_Hlk57908313"/>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w:t>
      </w:r>
      <w:r w:rsidR="007C4397">
        <w:rPr>
          <w:rFonts w:ascii="Times New Roman" w:eastAsia="Times New Roman" w:hAnsi="Times New Roman" w:cs="Times New Roman"/>
          <w:spacing w:val="-2"/>
          <w:kern w:val="16"/>
          <w:lang w:eastAsia="de-DE"/>
        </w:rPr>
        <w:t xml:space="preserve">arbitrary </w:t>
      </w:r>
      <w:r w:rsidRPr="006C26F9">
        <w:rPr>
          <w:rFonts w:ascii="Times New Roman" w:eastAsia="Times New Roman" w:hAnsi="Times New Roman" w:cs="Times New Roman"/>
          <w:spacing w:val="-2"/>
          <w:kern w:val="16"/>
          <w:lang w:eastAsia="de-DE"/>
        </w:rPr>
        <w:t xml:space="preserve">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xml:space="preserve">. </w:t>
      </w:r>
      <w:bookmarkEnd w:id="1"/>
      <w:r w:rsidRPr="006C26F9">
        <w:rPr>
          <w:rFonts w:ascii="Times New Roman" w:eastAsia="Times New Roman" w:hAnsi="Times New Roman" w:cs="Times New Roman"/>
          <w:spacing w:val="-2"/>
          <w:kern w:val="16"/>
          <w:lang w:eastAsia="de-DE"/>
        </w:rPr>
        <w:t>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noProof/>
          <w:spacing w:val="-2"/>
          <w:kern w:val="16"/>
          <w:lang w:eastAsia="de-DE"/>
        </w:rPr>
        <w:lastRenderedPageBreak/>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186F57"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Although BART architecture is closely related to BERT, there are two major differences. First, each layer of the decoder additionally performs cross-attention over the final hidden layer of the encoder. Second, BART does not use an additional feed-forward network before word-prediction while BERT does.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There are several transformations used in BART as shown in Figure 3.</w:t>
      </w:r>
    </w:p>
    <w:p w14:paraId="5B9AA4A2" w14:textId="3F941CFB"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Token Masking: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sampled and replaced with [MASK] elements.</w:t>
      </w:r>
    </w:p>
    <w:p w14:paraId="42A95151" w14:textId="20ACDE3E"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Sentence Permutation: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document is divided into sentences based on full stops and these sentences are shuffled in a random order.</w:t>
      </w:r>
    </w:p>
    <w:p w14:paraId="1F6BD454" w14:textId="23CDD297" w:rsidR="00E05B1F" w:rsidRPr="009352C4" w:rsidRDefault="00E05B1F" w:rsidP="00980FC0">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Document Rotation: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token is chosen uniformly at random and the document is rotated so that it begins with that token. This task trains the model to identify the start of the document.</w:t>
      </w:r>
    </w:p>
    <w:p w14:paraId="6A30322A" w14:textId="773E2FB1" w:rsidR="00E05B1F" w:rsidRPr="009352C4" w:rsidRDefault="00E05B1F" w:rsidP="00215957">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Token Deletion: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deleted from the input. Compared to token masking, the model must decide which positions are missing inputs.</w:t>
      </w:r>
    </w:p>
    <w:p w14:paraId="7374681F" w14:textId="6C4B0532" w:rsidR="00E05B1F" w:rsidRPr="009352C4" w:rsidRDefault="00E05B1F" w:rsidP="00D3191C">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Text Infilling: </w:t>
      </w:r>
      <w:r w:rsidR="009352C4">
        <w:rPr>
          <w:rFonts w:ascii="Times New Roman" w:eastAsia="Times New Roman" w:hAnsi="Times New Roman" w:cs="Times New Roman"/>
          <w:spacing w:val="-2"/>
          <w:kern w:val="16"/>
          <w:lang w:eastAsia="de-DE"/>
        </w:rPr>
        <w:t>s</w:t>
      </w:r>
      <w:r w:rsidRPr="009352C4">
        <w:rPr>
          <w:rFonts w:ascii="Times New Roman" w:eastAsia="Times New Roman" w:hAnsi="Times New Roman" w:cs="Times New Roman"/>
          <w:spacing w:val="-2"/>
          <w:kern w:val="16"/>
          <w:lang w:eastAsia="de-DE"/>
        </w:rPr>
        <w:t>everal text spans are sampled with span lengths drawn from a Poisson distribution. Each span is replaced with a single [MASK] token and zero-length spans correspond to the insertion of [MASK] tokens. 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6351AA5" w14:textId="5CBBFD18" w:rsidR="00E05B1F" w:rsidRPr="002F3339" w:rsidRDefault="00E05B1F" w:rsidP="002F3339">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3: BART input transformations.</w:t>
      </w:r>
    </w:p>
    <w:p w14:paraId="43A39509" w14:textId="5F7322DE" w:rsidR="00C22643" w:rsidRPr="006C26F9" w:rsidRDefault="00981B2E" w:rsidP="00C22643">
      <w:pPr>
        <w:pStyle w:val="ACLSubsection"/>
      </w:pPr>
      <w:r w:rsidRPr="006C26F9">
        <w:t>Model 3-6: Pre-trained transformers without fine 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4346CB98" w:rsidR="0003048E" w:rsidRPr="006C26F9" w:rsidRDefault="009649EF" w:rsidP="009649EF">
      <w:pPr>
        <w:pStyle w:val="ACLTextFirstLine"/>
        <w:ind w:firstLine="0"/>
      </w:pPr>
      <w:r w:rsidRPr="006C26F9">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308CA48B"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MLM are</w:t>
      </w:r>
      <w:r w:rsidR="00D933D3">
        <w:t xml:space="preserve"> used in</w:t>
      </w:r>
      <w:r w:rsidRPr="006C26F9">
        <w:t xml:space="preserve"> Bidirectional models</w:t>
      </w:r>
      <w:r w:rsidR="00D933D3">
        <w:t xml:space="preserve"> like BERT</w:t>
      </w:r>
      <w:r w:rsidRPr="006C26F9">
        <w:t>, at any time t the representation of the word is derived from both the left and the right context of it. The difference between BERT and T5 is that T5 replaces multiple consecutive tokens with a single mask keyword while BERT uses mask tokens for each word.</w:t>
      </w:r>
    </w:p>
    <w:p w14:paraId="4FC4A225" w14:textId="77777777" w:rsidR="00616A35" w:rsidRPr="006C26F9" w:rsidRDefault="00616A35" w:rsidP="009649EF">
      <w:pPr>
        <w:pStyle w:val="ACLTextFirstLine"/>
        <w:ind w:firstLine="0"/>
      </w:pPr>
    </w:p>
    <w:p w14:paraId="45838F36" w14:textId="4B1267C8" w:rsidR="00616A35" w:rsidRPr="006C26F9" w:rsidRDefault="00616A35" w:rsidP="009649EF">
      <w:pPr>
        <w:pStyle w:val="ACLTextFirstLine"/>
        <w:ind w:firstLine="0"/>
      </w:pPr>
      <w:r w:rsidRPr="006C26F9">
        <w:t xml:space="preserve">In Figure 4, the original text is transformed into input and output pairs by adding </w:t>
      </w:r>
      <w:r w:rsidR="00205816">
        <w:t xml:space="preserve">different types of </w:t>
      </w:r>
      <w:r w:rsidRPr="006C26F9">
        <w:t>perturbations to it. Since the final objective is to train a model that inputs and outputs text, the targets are designed to produce a sequence. This is different from BERT that tries to output one word</w:t>
      </w:r>
      <w:r w:rsidR="00205816">
        <w:t xml:space="preserve">, </w:t>
      </w:r>
      <w:r w:rsidRPr="006C26F9">
        <w:t>which is itself</w:t>
      </w:r>
      <w:r w:rsidR="00205816">
        <w:t>,</w:t>
      </w:r>
      <w:r w:rsidRPr="006C26F9">
        <w:t xml:space="preserve"> through final feed-forward and softmax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4CDD47B7" w:rsidR="0003048E" w:rsidRPr="006C26F9" w:rsidRDefault="0003048E" w:rsidP="007623E7">
      <w:pPr>
        <w:pStyle w:val="ACLTextFirstLine"/>
        <w:ind w:firstLine="0"/>
      </w:pPr>
      <w:r w:rsidRPr="006C26F9">
        <w:lastRenderedPageBreak/>
        <w:t xml:space="preserve">BART-large is similar to BART-base but bigger in terms of dimensions and layers; thus, </w:t>
      </w:r>
      <w:r w:rsidR="00D85827">
        <w:t>more</w:t>
      </w:r>
      <w:r w:rsidRPr="006C26F9">
        <w:t xml:space="preserve"> numbers of parameters.</w:t>
      </w:r>
    </w:p>
    <w:p w14:paraId="51186DF6" w14:textId="77777777" w:rsidR="00732497" w:rsidRPr="006C26F9" w:rsidRDefault="00732497" w:rsidP="007623E7">
      <w:pPr>
        <w:pStyle w:val="ACLTextFirstLine"/>
        <w:ind w:firstLine="0"/>
      </w:pPr>
    </w:p>
    <w:p w14:paraId="7C97A1F0" w14:textId="7CEFD0B7" w:rsidR="00F71242" w:rsidRPr="006C26F9" w:rsidRDefault="00981B2E" w:rsidP="007623E7">
      <w:pPr>
        <w:pStyle w:val="ACLTextFirstLine"/>
        <w:ind w:firstLine="0"/>
      </w:pPr>
      <w:r w:rsidRPr="006C26F9">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Huggingface </w:t>
      </w:r>
      <w:r w:rsidR="003D2038" w:rsidRPr="006C26F9">
        <w:t xml:space="preserve">[9] </w:t>
      </w:r>
      <w:r w:rsidRPr="006C26F9">
        <w:t xml:space="preserve">and directly use them without any finetuning. These models have different numbers of parameters and </w:t>
      </w:r>
      <w:r w:rsidR="00D85827">
        <w:t xml:space="preserve">underlying </w:t>
      </w:r>
      <w:r w:rsidRPr="006C26F9">
        <w:t xml:space="preserve">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1A60C484" w:rsidR="005773E3" w:rsidRPr="006C26F9" w:rsidRDefault="005773E3" w:rsidP="005773E3">
      <w:pPr>
        <w:pStyle w:val="ACLTextFirstLine"/>
        <w:ind w:firstLine="0"/>
      </w:pPr>
      <w:r w:rsidRPr="006C26F9">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116A01">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w:t>
            </w:r>
            <w:r w:rsidRPr="006C26F9">
              <w:rPr>
                <w:rFonts w:ascii="Times New Roman" w:hAnsi="Times New Roman" w:cs="Times New Roman"/>
              </w:rPr>
              <w:t>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116A01">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116A01">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2: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Gisting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w:t>
      </w:r>
      <w:r w:rsidR="001244B2" w:rsidRPr="006C26F9">
        <w:lastRenderedPageBreak/>
        <w:t>ROUGE-2, and ROUGE-L. 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7EA89AAA" w:rsidR="001244B2" w:rsidRPr="00AF2F07" w:rsidRDefault="008541F8" w:rsidP="001244B2">
      <w:pPr>
        <w:pStyle w:val="ACLTextFirstLine"/>
        <w:ind w:firstLine="0"/>
        <w:rPr>
          <w:iCs/>
        </w:rPr>
      </w:pPr>
      <m:oMathPara>
        <m:oMath>
          <m:r>
            <m:rPr>
              <m:sty m:val="p"/>
            </m:rPr>
            <w:rPr>
              <w:rFonts w:ascii="Cambria Math" w:hAnsi="Cambria Math"/>
            </w:rPr>
            <m:t xml:space="preserve">Precision =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model summary</m:t>
              </m:r>
            </m:den>
          </m:f>
        </m:oMath>
      </m:oMathPara>
    </w:p>
    <w:p w14:paraId="5FFB92DA" w14:textId="77777777" w:rsidR="00D06FEB" w:rsidRPr="00AF2F07" w:rsidRDefault="00D06FEB" w:rsidP="001244B2">
      <w:pPr>
        <w:pStyle w:val="ACLTextFirstLine"/>
        <w:ind w:firstLine="0"/>
        <w:rPr>
          <w:iCs/>
        </w:rPr>
      </w:pPr>
    </w:p>
    <w:p w14:paraId="2BFC94DB" w14:textId="3A61F11E" w:rsidR="00D06FEB" w:rsidRPr="00AF2F07" w:rsidRDefault="008541F8" w:rsidP="001244B2">
      <w:pPr>
        <w:pStyle w:val="ACLTextFirstLine"/>
        <w:ind w:firstLine="0"/>
        <w:rPr>
          <w:iCs/>
        </w:rPr>
      </w:pPr>
      <m:oMathPara>
        <m:oMath>
          <m:r>
            <m:rPr>
              <m:sty m:val="p"/>
            </m:rPr>
            <w:rPr>
              <w:rFonts w:ascii="Cambria Math" w:hAnsi="Cambria Math"/>
            </w:rPr>
            <m:t xml:space="preserve">Recall=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reference summary</m:t>
              </m:r>
            </m:den>
          </m:f>
        </m:oMath>
      </m:oMathPara>
    </w:p>
    <w:p w14:paraId="75D4CE3D" w14:textId="2A5BC7F3" w:rsidR="001244B2" w:rsidRPr="00AF2F07" w:rsidRDefault="001244B2" w:rsidP="004D7555">
      <w:pPr>
        <w:pStyle w:val="ACLText"/>
        <w:rPr>
          <w:iCs/>
        </w:rPr>
      </w:pPr>
    </w:p>
    <w:p w14:paraId="1E128621" w14:textId="485930A3" w:rsidR="00D06FEB" w:rsidRPr="00AF2F07" w:rsidRDefault="008541F8" w:rsidP="00D06FEB">
      <w:pPr>
        <w:pStyle w:val="ACLTextFirstLine"/>
        <w:rPr>
          <w:iCs/>
        </w:rPr>
      </w:pPr>
      <m:oMathPara>
        <m:oMath>
          <m:r>
            <m:rPr>
              <m:sty m:val="p"/>
            </m:rPr>
            <w:rPr>
              <w:rFonts w:ascii="Cambria Math" w:hAnsi="Cambria Math"/>
            </w:rPr>
            <m:t xml:space="preserve">F1 = </m:t>
          </m:r>
          <m:f>
            <m:fPr>
              <m:ctrlPr>
                <w:rPr>
                  <w:rFonts w:ascii="Cambria Math" w:hAnsi="Cambria Math"/>
                  <w:iCs/>
                </w:rPr>
              </m:ctrlPr>
            </m:fPr>
            <m:num>
              <m:r>
                <m:rPr>
                  <m:sty m:val="p"/>
                </m:rPr>
                <w:rPr>
                  <w:rFonts w:ascii="Cambria Math" w:hAnsi="Cambria Math"/>
                </w:rPr>
                <m:t>2*(Recall*Precision)</m:t>
              </m:r>
            </m:num>
            <m:den>
              <m:r>
                <m:rPr>
                  <m:sty m:val="p"/>
                </m:rP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5B076CB3" w:rsidR="0097463D" w:rsidRPr="00AF2F07" w:rsidRDefault="00AF2F07" w:rsidP="0097463D">
      <w:pPr>
        <w:pStyle w:val="ACLTextFirstLine"/>
        <w:ind w:firstLine="0"/>
        <w:rPr>
          <w:iCs/>
        </w:rPr>
      </w:pPr>
      <m:oMath>
        <m:r>
          <m:rPr>
            <m:sty m:val="p"/>
          </m:rPr>
          <w:rPr>
            <w:rFonts w:ascii="Cambria Math" w:hAnsi="Cambria Math"/>
          </w:rPr>
          <m:t>ROUGE-n</m:t>
        </m:r>
      </m:oMath>
      <w:r w:rsidR="0097463D" w:rsidRPr="00AF2F07">
        <w:rPr>
          <w:iCs/>
        </w:rPr>
        <w:t xml:space="preserve"> =</w:t>
      </w:r>
    </w:p>
    <w:p w14:paraId="5C860299" w14:textId="75F65D8E" w:rsidR="0097463D" w:rsidRPr="006C26F9" w:rsidRDefault="0042110C" w:rsidP="0097463D">
      <w:pPr>
        <w:pStyle w:val="ACLTextFirstLine"/>
        <w:ind w:firstLine="0"/>
      </w:pPr>
      <m:oMath>
        <m:f>
          <m:fPr>
            <m:ctrlPr>
              <w:rPr>
                <w:rFonts w:ascii="Cambria Math" w:hAnsi="Cambria Math"/>
                <w:iCs/>
              </w:rPr>
            </m:ctrlPr>
          </m:fPr>
          <m:num>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sSub>
                      <m:sSubPr>
                        <m:ctrlPr>
                          <w:rPr>
                            <w:rFonts w:ascii="Cambria Math" w:hAnsi="Cambria Math"/>
                            <w:iCs/>
                          </w:rPr>
                        </m:ctrlPr>
                      </m:sSubPr>
                      <m:e>
                        <m:r>
                          <m:rPr>
                            <m:sty m:val="p"/>
                          </m:rPr>
                          <w:rPr>
                            <w:rFonts w:ascii="Cambria Math" w:hAnsi="Cambria Math"/>
                          </w:rPr>
                          <m:t>Count</m:t>
                        </m:r>
                      </m:e>
                      <m:sub>
                        <m:r>
                          <m:rPr>
                            <m:sty m:val="p"/>
                          </m:rPr>
                          <w:rPr>
                            <w:rFonts w:ascii="Cambria Math" w:hAnsi="Cambria Math"/>
                          </w:rPr>
                          <m:t>match</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num>
          <m:den>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r>
                      <m:rPr>
                        <m:sty m:val="p"/>
                      </m:rPr>
                      <w:rPr>
                        <w:rFonts w:ascii="Cambria Math" w:hAnsi="Cambria Math"/>
                      </w:rPr>
                      <m:t>Count(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den>
        </m:f>
      </m:oMath>
      <w:r w:rsidR="001D6CF1">
        <w:t xml:space="preserve"> </w:t>
      </w:r>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m and model summary Y of length n,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17EB61CB" w:rsidR="001054B1" w:rsidRPr="006C26F9" w:rsidRDefault="0042110C" w:rsidP="001054B1">
      <w:pPr>
        <w:pStyle w:val="ACLTextFirstLine"/>
        <w:ind w:firstLine="0"/>
      </w:pPr>
      <m:oMathPara>
        <m:oMath>
          <m:sSub>
            <m:sSubPr>
              <m:ctrlPr>
                <w:rPr>
                  <w:rFonts w:ascii="Cambria Math" w:hAnsi="Cambria Math"/>
                  <w:i/>
                </w:rPr>
              </m:ctrlPr>
            </m:sSubPr>
            <m:e>
              <m:r>
                <w:rPr>
                  <w:rFonts w:ascii="Cambria Math" w:hAnsi="Cambria Math"/>
                </w:rPr>
                <m:t>Recall</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14:paraId="612496D7" w14:textId="77777777" w:rsidR="001054B1" w:rsidRPr="006C26F9" w:rsidRDefault="001054B1" w:rsidP="001054B1">
      <w:pPr>
        <w:pStyle w:val="ACLTextFirstLine"/>
        <w:ind w:firstLine="0"/>
      </w:pPr>
    </w:p>
    <w:p w14:paraId="484569CF" w14:textId="67053F24" w:rsidR="001054B1" w:rsidRPr="006C26F9" w:rsidRDefault="0042110C" w:rsidP="001054B1">
      <w:pPr>
        <w:pStyle w:val="ACLTextFirstLine"/>
        <w:ind w:firstLine="0"/>
      </w:pPr>
      <m:oMathPara>
        <m:oMath>
          <m:sSub>
            <m:sSubPr>
              <m:ctrlPr>
                <w:rPr>
                  <w:rFonts w:ascii="Cambria Math" w:hAnsi="Cambria Math"/>
                  <w:i/>
                </w:rPr>
              </m:ctrlPr>
            </m:sSubPr>
            <m:e>
              <m:r>
                <w:rPr>
                  <w:rFonts w:ascii="Cambria Math" w:hAnsi="Cambria Math"/>
                </w:rPr>
                <m:t>Precision</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14:paraId="50469A66" w14:textId="53BBAD8A" w:rsidR="0097463D" w:rsidRPr="006C26F9" w:rsidRDefault="0097463D" w:rsidP="0097463D">
      <w:pPr>
        <w:pStyle w:val="ACLTextFirstLine"/>
        <w:ind w:firstLine="0"/>
      </w:pPr>
    </w:p>
    <w:p w14:paraId="47D733E4" w14:textId="00674D8C" w:rsidR="001054B1" w:rsidRPr="006C26F9" w:rsidRDefault="0042110C" w:rsidP="001054B1">
      <w:pPr>
        <w:pStyle w:val="ACLTextFirstLine"/>
        <w:ind w:firstLine="0"/>
      </w:pPr>
      <m:oMathPara>
        <m:oMath>
          <m:sSub>
            <m:sSubPr>
              <m:ctrlPr>
                <w:rPr>
                  <w:rFonts w:ascii="Cambria Math" w:hAnsi="Cambria Math"/>
                  <w:i/>
                </w:rPr>
              </m:ctrlPr>
            </m:sSubPr>
            <m:e>
              <m:r>
                <w:rPr>
                  <w:rFonts w:ascii="Cambria Math" w:hAnsi="Cambria Math"/>
                </w:rPr>
                <m:t>F1</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2CC7B224"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pretuned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Huggingface [9]</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Colab as our main training facilities. We have tried CPU, GPU (Tesla T4), and TPU. For training of our baseline model, it takes around 7, 2, and 0.5 hours respectively while it </w:t>
      </w:r>
      <w:r w:rsidRPr="006C26F9">
        <w:t>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48B6F320" w:rsidR="00D06FEB" w:rsidRPr="006C26F9" w:rsidRDefault="00D06FEB" w:rsidP="00D06FEB">
      <w:pPr>
        <w:pStyle w:val="ACLText"/>
        <w:rPr>
          <w:lang w:val="en-GB"/>
        </w:rPr>
      </w:pPr>
      <w:r w:rsidRPr="006C26F9">
        <w:rPr>
          <w:lang w:val="en-GB"/>
        </w:rPr>
        <w:t xml:space="preserve">From table 3, we can see that </w:t>
      </w:r>
      <w:r w:rsidR="00AF2F07">
        <w:rPr>
          <w:lang w:val="en-GB"/>
        </w:rPr>
        <w:t xml:space="preserve">the </w:t>
      </w:r>
      <w:r w:rsidRPr="006C26F9">
        <w:rPr>
          <w:lang w:val="en-GB"/>
        </w:rPr>
        <w:t xml:space="preserve">vanilla </w:t>
      </w:r>
      <w:r w:rsidR="00AF2F07" w:rsidRPr="006C26F9">
        <w:rPr>
          <w:lang w:val="en-GB"/>
        </w:rPr>
        <w:t xml:space="preserve">LSTM </w:t>
      </w:r>
      <w:r w:rsidR="00AF2F07">
        <w:rPr>
          <w:lang w:val="en-GB"/>
        </w:rPr>
        <w:t>sequence</w:t>
      </w:r>
      <w:r w:rsidRPr="006C26F9">
        <w:rPr>
          <w:lang w:val="en-GB"/>
        </w:rPr>
        <w:t>-to-sequence model that was trained from scratch has a relatively disappointing performance in all ROUGE metrics compared with other models. The performance of Transformer-based models like the BART-large model and all three T5 models almost doubles th</w:t>
      </w:r>
      <w:r w:rsidR="0080189F">
        <w:rPr>
          <w:lang w:val="en-GB"/>
        </w:rPr>
        <w:t>at of</w:t>
      </w:r>
      <w:r w:rsidRPr="006C26F9">
        <w:rPr>
          <w:lang w:val="en-GB"/>
        </w:rPr>
        <w:t xml:space="preserve"> </w:t>
      </w:r>
      <w:r w:rsidR="0080189F">
        <w:rPr>
          <w:lang w:val="en-GB"/>
        </w:rPr>
        <w:t xml:space="preserve">the </w:t>
      </w:r>
      <w:bookmarkStart w:id="2" w:name="_GoBack"/>
      <w:bookmarkEnd w:id="2"/>
      <w:r w:rsidRPr="006C26F9">
        <w:rPr>
          <w:lang w:val="en-GB"/>
        </w:rPr>
        <w:t xml:space="preserve">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Table 4 shows the examples of our model outputs compared with a reference summary. We can see that the summary output from LSTM sequence-to-sequence model is incorrect as seen in the word “</w:t>
      </w:r>
      <w:r w:rsidRPr="006C26F9">
        <w:rPr>
          <w:i/>
          <w:iCs/>
          <w:lang w:val="en-GB"/>
        </w:rPr>
        <w:t>Manchester United</w:t>
      </w:r>
      <w:r w:rsidRPr="006C26F9">
        <w:rPr>
          <w:lang w:val="en-GB"/>
        </w:rPr>
        <w:t xml:space="preserve">” repeating itself in both subject and object. In contrast, the outputs of other </w:t>
      </w:r>
      <w:r w:rsidRPr="006C26F9">
        <w:rPr>
          <w:lang w:val="en-GB"/>
        </w:rPr>
        <w:lastRenderedPageBreak/>
        <w:t xml:space="preserve">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Manchester United have made Schweinsteiger as their top target</w:t>
      </w:r>
      <w:r w:rsidRPr="006C26F9">
        <w:rPr>
          <w:lang w:val="en-GB"/>
        </w:rPr>
        <w:t>.” BART base model and all T5 models identify this point successfully. The other point is “</w:t>
      </w:r>
      <w:r w:rsidRPr="006C26F9">
        <w:rPr>
          <w:i/>
          <w:iCs/>
          <w:lang w:val="en-GB"/>
        </w:rPr>
        <w:t>Louis Van Gall eyes Scheweinsteiger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C6AF0">
        <w:tc>
          <w:tcPr>
            <w:tcW w:w="1271" w:type="dxa"/>
            <w:vAlign w:val="center"/>
          </w:tcPr>
          <w:p w14:paraId="56A9D99F" w14:textId="46F5FADE" w:rsidR="00953FCB" w:rsidRPr="006C26F9" w:rsidRDefault="00953FCB" w:rsidP="006C6AF0">
            <w:pPr>
              <w:jc w:val="cente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-louis van gaal eyes bastian schweinsteiger reunion at old trafford.</w:t>
            </w:r>
          </w:p>
        </w:tc>
      </w:tr>
      <w:tr w:rsidR="00953FCB" w:rsidRPr="006C26F9" w14:paraId="3E641E62" w14:textId="77777777" w:rsidTr="006C6AF0">
        <w:tc>
          <w:tcPr>
            <w:tcW w:w="1271" w:type="dxa"/>
            <w:vAlign w:val="center"/>
          </w:tcPr>
          <w:p w14:paraId="277AB28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been linked with a move to manchester united.</w:t>
            </w:r>
          </w:p>
        </w:tc>
      </w:tr>
      <w:tr w:rsidR="00953FCB" w:rsidRPr="006C26F9" w14:paraId="5503E957" w14:textId="77777777" w:rsidTr="006C6AF0">
        <w:tc>
          <w:tcPr>
            <w:tcW w:w="1271" w:type="dxa"/>
            <w:vAlign w:val="center"/>
          </w:tcPr>
          <w:p w14:paraId="21EE64A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tc>
      </w:tr>
      <w:tr w:rsidR="00953FCB" w:rsidRPr="006C26F9" w14:paraId="17387A18" w14:textId="77777777" w:rsidTr="006C6AF0">
        <w:tc>
          <w:tcPr>
            <w:tcW w:w="1271" w:type="dxa"/>
            <w:vAlign w:val="center"/>
          </w:tcPr>
          <w:p w14:paraId="121B939D"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-bastian schweinsteiger is thought to be keen on joining his former boss louis van gaal at old trafford.</w:t>
            </w:r>
          </w:p>
        </w:tc>
      </w:tr>
      <w:tr w:rsidR="00953FCB" w:rsidRPr="006C26F9" w14:paraId="2DADD265" w14:textId="77777777" w:rsidTr="006C6AF0">
        <w:tc>
          <w:tcPr>
            <w:tcW w:w="1271" w:type="dxa"/>
            <w:vAlign w:val="center"/>
          </w:tcPr>
          <w:p w14:paraId="6CB0A409"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3F055120" w14:textId="77777777" w:rsidTr="006C6AF0">
        <w:tc>
          <w:tcPr>
            <w:tcW w:w="1271" w:type="dxa"/>
            <w:vAlign w:val="center"/>
          </w:tcPr>
          <w:p w14:paraId="006D324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0084F386" w14:textId="77777777" w:rsidTr="006C6AF0">
        <w:tc>
          <w:tcPr>
            <w:tcW w:w="1271" w:type="dxa"/>
            <w:vAlign w:val="center"/>
          </w:tcPr>
          <w:p w14:paraId="4A06020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-schweinsteiger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 may have troubles dealing with. The first point is the word “reds” which refers to “Liverpool” not color. The other point is “Anfield club” which also refers to “Liverpool” even though “Anfield”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6AF0">
        <w:tc>
          <w:tcPr>
            <w:tcW w:w="1247" w:type="dxa"/>
            <w:vAlign w:val="center"/>
          </w:tcPr>
          <w:p w14:paraId="77C080E8" w14:textId="77777777" w:rsidR="00370CA2" w:rsidRPr="00370CA2" w:rsidRDefault="00370CA2" w:rsidP="006C6AF0">
            <w:pPr>
              <w:jc w:val="cente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-the reds want swansea striker wilfried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-petr cech and jack butland are being considered by the anfield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6AF0">
        <w:tc>
          <w:tcPr>
            <w:tcW w:w="1247" w:type="dxa"/>
            <w:vAlign w:val="center"/>
          </w:tcPr>
          <w:p w14:paraId="798E6CB3"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have been linked with a move to the premier league.</w:t>
            </w:r>
          </w:p>
        </w:tc>
      </w:tr>
      <w:tr w:rsidR="00370CA2" w:rsidRPr="00370CA2" w14:paraId="206DD23D" w14:textId="77777777" w:rsidTr="006C6AF0">
        <w:tc>
          <w:tcPr>
            <w:tcW w:w="1247" w:type="dxa"/>
            <w:vAlign w:val="center"/>
          </w:tcPr>
          <w:p w14:paraId="18ABFBFD"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w:t>
            </w:r>
          </w:p>
        </w:tc>
      </w:tr>
      <w:tr w:rsidR="00370CA2" w:rsidRPr="00370CA2" w14:paraId="6769B6EA" w14:textId="77777777" w:rsidTr="006C6AF0">
        <w:tc>
          <w:tcPr>
            <w:tcW w:w="1247" w:type="dxa"/>
            <w:vAlign w:val="center"/>
          </w:tcPr>
          <w:p w14:paraId="30271FD7"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-a goalkeeper and striker remain the objectives but key could be the departure.</w:t>
            </w:r>
          </w:p>
        </w:tc>
      </w:tr>
      <w:tr w:rsidR="00370CA2" w:rsidRPr="00370CA2" w14:paraId="7EB6BD74" w14:textId="77777777" w:rsidTr="006C6AF0">
        <w:tc>
          <w:tcPr>
            <w:tcW w:w="1247" w:type="dxa"/>
            <w:vAlign w:val="center"/>
          </w:tcPr>
          <w:p w14:paraId="5D9B28EA"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 spend.</w:t>
            </w:r>
          </w:p>
        </w:tc>
      </w:tr>
      <w:tr w:rsidR="00370CA2" w:rsidRPr="00370CA2" w14:paraId="1295778C" w14:textId="77777777" w:rsidTr="006C6AF0">
        <w:tc>
          <w:tcPr>
            <w:tcW w:w="1247" w:type="dxa"/>
            <w:vAlign w:val="center"/>
          </w:tcPr>
          <w:p w14:paraId="438F069F"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lastRenderedPageBreak/>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-a goalkeeper and striker remain the objectives for brendan rodgers.</w:t>
            </w:r>
          </w:p>
        </w:tc>
      </w:tr>
      <w:tr w:rsidR="00370CA2" w:rsidRPr="00370CA2" w14:paraId="5450B578" w14:textId="77777777" w:rsidTr="006C6AF0">
        <w:tc>
          <w:tcPr>
            <w:tcW w:w="1247" w:type="dxa"/>
            <w:vAlign w:val="center"/>
          </w:tcPr>
          <w:p w14:paraId="0B17F94C"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T5-large</w:t>
            </w:r>
          </w:p>
        </w:tc>
        <w:tc>
          <w:tcPr>
            <w:tcW w:w="3284" w:type="dxa"/>
          </w:tcPr>
          <w:p w14:paraId="389F5A1C" w14:textId="267C0349"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 spend.</w:t>
            </w:r>
          </w:p>
        </w:tc>
      </w:tr>
    </w:tbl>
    <w:p w14:paraId="7571850F" w14:textId="77777777" w:rsidR="001C5C78" w:rsidRPr="006C26F9" w:rsidRDefault="001C5C78" w:rsidP="00370CA2">
      <w:pPr>
        <w:pStyle w:val="ACLTextFirstLine"/>
        <w:ind w:firstLine="720"/>
      </w:pPr>
    </w:p>
    <w:p w14:paraId="71DD46AA" w14:textId="744EA91D" w:rsidR="00370CA2" w:rsidRPr="006C26F9" w:rsidRDefault="00370CA2" w:rsidP="00FE131D">
      <w:pPr>
        <w:pStyle w:val="ACLTextFirstLine"/>
        <w:ind w:firstLine="720"/>
      </w:pPr>
      <w:r w:rsidRPr="006C26F9">
        <w:t>Table 5: Example 2 of Model outputs</w:t>
      </w:r>
    </w:p>
    <w:p w14:paraId="1CCF7C90" w14:textId="2E7FD348" w:rsidR="00AA7BE3" w:rsidRDefault="007F4B77" w:rsidP="00AA7BE3">
      <w:pPr>
        <w:pStyle w:val="ACLSection"/>
      </w:pPr>
      <w:r w:rsidRPr="006C26F9">
        <w:t>Conclusion</w:t>
      </w:r>
      <w:r w:rsidR="00AA7BE3">
        <w:t xml:space="preserve"> and </w:t>
      </w:r>
      <w:r w:rsidR="00AA7BE3" w:rsidRPr="006C26F9">
        <w:t>Future Work</w:t>
      </w:r>
    </w:p>
    <w:p w14:paraId="258ECF12" w14:textId="4E5B6671" w:rsidR="00C11A93" w:rsidRDefault="00C11A93" w:rsidP="00F37BFE">
      <w:pPr>
        <w:pStyle w:val="ACLText"/>
      </w:pPr>
      <w:r>
        <w:rPr>
          <w:rFonts w:eastAsiaTheme="minorEastAsia"/>
          <w:lang w:val="en-GB" w:eastAsia="zh-CN"/>
        </w:rPr>
        <w:t xml:space="preserve">In this paper, we </w:t>
      </w:r>
      <w:r>
        <w:t>built</w:t>
      </w:r>
      <w:r w:rsidRPr="006C26F9">
        <w:t xml:space="preserve"> several neural</w:t>
      </w:r>
      <w:r>
        <w:t xml:space="preserve"> network</w:t>
      </w:r>
      <w:r w:rsidRPr="006C26F9">
        <w:t xml:space="preserve">-based </w:t>
      </w:r>
      <w:r>
        <w:t>text summarization models</w:t>
      </w:r>
      <w:r w:rsidRPr="006C26F9">
        <w:t xml:space="preserve"> </w:t>
      </w:r>
      <w:r>
        <w:t xml:space="preserve">that can extract the main highlights from </w:t>
      </w:r>
      <w:r w:rsidRPr="006C26F9">
        <w:t>news articles.</w:t>
      </w:r>
      <w:r>
        <w:rPr>
          <w:rFonts w:eastAsiaTheme="minorEastAsia"/>
          <w:lang w:val="en-GB" w:eastAsia="zh-CN"/>
        </w:rPr>
        <w:t xml:space="preserve"> </w:t>
      </w:r>
      <w:r w:rsidR="00F37BFE">
        <w:rPr>
          <w:lang w:val="zh-CN" w:eastAsia="zh-CN"/>
        </w:rPr>
        <w:t xml:space="preserve">From our </w:t>
      </w:r>
      <w:r w:rsidR="00F37BFE">
        <w:t xml:space="preserve">experiment, </w:t>
      </w:r>
      <w:r>
        <w:t>we found that transformer-based models have better performance than a vanilla LSTM sequence-to-sequence model.</w:t>
      </w:r>
      <w:r>
        <w:rPr>
          <w:rFonts w:eastAsiaTheme="minorEastAsia"/>
          <w:lang w:val="en-GB" w:eastAsia="zh-CN"/>
        </w:rPr>
        <w:t xml:space="preserve"> </w:t>
      </w:r>
      <w:r w:rsidR="00F37BFE">
        <w:t xml:space="preserve">The accuracy of </w:t>
      </w:r>
      <w:r w:rsidR="008541F8">
        <w:t>the</w:t>
      </w:r>
      <w:r w:rsidR="00F37BFE">
        <w:t xml:space="preserve"> </w:t>
      </w:r>
      <w:r>
        <w:t>LSTM</w:t>
      </w:r>
      <w:r w:rsidR="00F37BFE">
        <w:t xml:space="preserve"> model </w:t>
      </w:r>
      <w:r w:rsidR="008541F8">
        <w:t xml:space="preserve">that is built from scratch </w:t>
      </w:r>
      <w:r w:rsidR="00F37BFE">
        <w:t xml:space="preserve">is </w:t>
      </w:r>
      <w:r w:rsidR="00F37BFE">
        <w:t>relatively lo</w:t>
      </w:r>
      <w:r w:rsidR="008541F8">
        <w:t xml:space="preserve">w and its predicted summaries are repeating and inaccurate in term of meaning and grammar; thus, </w:t>
      </w:r>
      <w:r w:rsidR="00F37BFE">
        <w:t>cannot be used as the summary of the given</w:t>
      </w:r>
      <w:r w:rsidR="008541F8">
        <w:t xml:space="preserve"> news</w:t>
      </w:r>
      <w:r w:rsidR="00F37BFE">
        <w:t xml:space="preserve"> article.</w:t>
      </w:r>
    </w:p>
    <w:p w14:paraId="6EB5A1CE" w14:textId="77777777" w:rsidR="00F37BFE" w:rsidRDefault="00F37BFE" w:rsidP="00F37BFE">
      <w:pPr>
        <w:pStyle w:val="ACLText"/>
      </w:pPr>
    </w:p>
    <w:p w14:paraId="3AA35876" w14:textId="5F2A6D29" w:rsidR="00A95C48" w:rsidRPr="00A95C48" w:rsidRDefault="008541F8" w:rsidP="00BE43C2">
      <w:pPr>
        <w:pStyle w:val="ACLText"/>
      </w:pPr>
      <w:r>
        <w:t>On the other hand, a</w:t>
      </w:r>
      <w:r w:rsidR="00F37BFE">
        <w:t xml:space="preserve">ll </w:t>
      </w:r>
      <w:r w:rsidR="00C11A93">
        <w:t>transformer</w:t>
      </w:r>
      <w:r w:rsidR="00C11A93">
        <w:t xml:space="preserve">-based </w:t>
      </w:r>
      <w:r w:rsidR="00F37BFE">
        <w:t>models</w:t>
      </w:r>
      <w:r w:rsidR="00C11A93">
        <w:t xml:space="preserve"> </w:t>
      </w:r>
      <w:r w:rsidR="00F37BFE">
        <w:t>c</w:t>
      </w:r>
      <w:r w:rsidR="00C11A93">
        <w:t>an</w:t>
      </w:r>
      <w:r w:rsidR="00F37BFE">
        <w:t xml:space="preserve"> produce </w:t>
      </w:r>
      <w:r>
        <w:t xml:space="preserve">grammatically </w:t>
      </w:r>
      <w:r w:rsidR="00F37BFE">
        <w:t xml:space="preserve">correct and </w:t>
      </w:r>
      <w:r>
        <w:t>meaningful</w:t>
      </w:r>
      <w:r w:rsidR="00F37BFE">
        <w:t xml:space="preserve"> summar</w:t>
      </w:r>
      <w:r>
        <w:t>ies</w:t>
      </w:r>
      <w:r w:rsidR="00F37BFE">
        <w:t xml:space="preserve"> in most cases based on our experiment</w:t>
      </w:r>
      <w:r>
        <w:t>s</w:t>
      </w:r>
      <w:r w:rsidR="00F37BFE">
        <w:t xml:space="preserve">. Two </w:t>
      </w:r>
      <w:r w:rsidR="00307052">
        <w:t xml:space="preserve">model-generated example </w:t>
      </w:r>
      <w:r w:rsidR="00F37BFE">
        <w:t>output</w:t>
      </w:r>
      <w:r w:rsidR="00307052">
        <w:t>s</w:t>
      </w:r>
      <w:r w:rsidR="00F37BFE">
        <w:t xml:space="preserve"> </w:t>
      </w:r>
      <w:r w:rsidR="00307052">
        <w:t xml:space="preserve">shown </w:t>
      </w:r>
      <w:r>
        <w:t>in Table 4 and 5</w:t>
      </w:r>
      <w:r w:rsidR="00307052">
        <w:t xml:space="preserve"> </w:t>
      </w:r>
      <w:r w:rsidR="00F37BFE">
        <w:t>are readable</w:t>
      </w:r>
      <w:r w:rsidR="00307052">
        <w:t xml:space="preserve"> as their</w:t>
      </w:r>
      <w:r w:rsidR="00F37BFE">
        <w:t xml:space="preserve"> meaning</w:t>
      </w:r>
      <w:r w:rsidR="00307052">
        <w:t>s</w:t>
      </w:r>
      <w:r w:rsidR="00F37BFE">
        <w:t xml:space="preserve"> are clear and there </w:t>
      </w:r>
      <w:r w:rsidR="00307052">
        <w:t>are</w:t>
      </w:r>
      <w:r w:rsidR="00F37BFE">
        <w:t xml:space="preserve"> no </w:t>
      </w:r>
      <w:r w:rsidR="00307052">
        <w:t>grammatical mistakes</w:t>
      </w:r>
      <w:r w:rsidR="00F37BFE">
        <w:t xml:space="preserve">. Additionally, </w:t>
      </w:r>
      <w:r w:rsidR="00A95C48">
        <w:t>as there are more than one sentence</w:t>
      </w:r>
      <w:r w:rsidR="00A95C48">
        <w:t>s</w:t>
      </w:r>
      <w:r w:rsidR="00A95C48">
        <w:t xml:space="preserve"> in the reference summary which mentions multiple key information from the article</w:t>
      </w:r>
      <w:r w:rsidR="00A95C48">
        <w:t xml:space="preserve">, </w:t>
      </w:r>
      <w:r w:rsidR="00F37BFE">
        <w:t>those summary sentences</w:t>
      </w:r>
      <w:r w:rsidR="00A95C48">
        <w:t xml:space="preserve"> </w:t>
      </w:r>
      <w:r w:rsidR="00A95C48">
        <w:t xml:space="preserve">generated by the </w:t>
      </w:r>
      <w:r w:rsidR="00A95C48">
        <w:t xml:space="preserve">transformer </w:t>
      </w:r>
      <w:r w:rsidR="00A95C48">
        <w:t>models</w:t>
      </w:r>
      <w:r w:rsidR="00F37BFE">
        <w:t xml:space="preserve"> could at least capture </w:t>
      </w:r>
      <w:r w:rsidR="00307052">
        <w:t>one</w:t>
      </w:r>
      <w:r w:rsidR="00F37BFE">
        <w:t xml:space="preserve"> key points of the </w:t>
      </w:r>
      <w:r w:rsidR="00307052">
        <w:t xml:space="preserve">news </w:t>
      </w:r>
      <w:r w:rsidR="00F37BFE">
        <w:t>article</w:t>
      </w:r>
      <w:r w:rsidR="00307052">
        <w:t xml:space="preserve"> </w:t>
      </w:r>
      <w:r w:rsidR="00A95C48">
        <w:t>Therefore</w:t>
      </w:r>
      <w:r w:rsidR="00F37BFE">
        <w:t>, to some extent, these models are helpful and useful</w:t>
      </w:r>
      <w:r w:rsidR="00A95C48">
        <w:t xml:space="preserve"> for automatic text summarization</w:t>
      </w:r>
      <w:r w:rsidR="00F37BFE">
        <w:t xml:space="preserve">. </w:t>
      </w:r>
      <w:r w:rsidR="00A95C48">
        <w:t>However,</w:t>
      </w:r>
      <w:r w:rsidR="00F37BFE">
        <w:t xml:space="preserve"> human involvement is still needed </w:t>
      </w:r>
      <w:r w:rsidR="00A95C48">
        <w:t xml:space="preserve">as </w:t>
      </w:r>
      <w:r w:rsidR="00F37BFE">
        <w:t>to make sure the summaries generated by the models are correct and sufficient</w:t>
      </w:r>
      <w:r w:rsidR="00A95C48">
        <w:t xml:space="preserve"> in some cases</w:t>
      </w:r>
      <w:r w:rsidR="00F37BFE">
        <w:t>.</w:t>
      </w:r>
      <w:r w:rsidR="00BE43C2">
        <w:t xml:space="preserve"> </w:t>
      </w:r>
      <w:r w:rsidR="00A95C48">
        <w:t>Therefore, our experiment proves the importance of the transformers in the text summarization model.</w:t>
      </w:r>
    </w:p>
    <w:p w14:paraId="1CEA877D" w14:textId="77777777" w:rsidR="00F37BFE" w:rsidRDefault="00F37BFE" w:rsidP="00F37BFE">
      <w:pPr>
        <w:pStyle w:val="ACLTextFirstLine"/>
      </w:pPr>
    </w:p>
    <w:p w14:paraId="6C5C8400" w14:textId="0BCBC8B8" w:rsidR="00F37BFE" w:rsidRDefault="00F37BFE" w:rsidP="00F37BFE">
      <w:pPr>
        <w:pStyle w:val="ACLTextFirstLine"/>
        <w:ind w:firstLine="0"/>
      </w:pPr>
      <w:r>
        <w:t>Text summarization is still a challenging topic. The overall ROUGE scores of our models are below 0.30</w:t>
      </w:r>
      <w:r w:rsidR="00A95C48">
        <w:t xml:space="preserve"> which is still below the state-of-the-art models</w:t>
      </w:r>
      <w:r>
        <w:t xml:space="preserve">, which means </w:t>
      </w:r>
      <w:r w:rsidR="00A95C48">
        <w:t xml:space="preserve">there are rooms for major </w:t>
      </w:r>
      <w:r>
        <w:t xml:space="preserve">improvement. </w:t>
      </w:r>
      <w:r w:rsidR="00A95C48">
        <w:t>Nonetheless, w</w:t>
      </w:r>
      <w:r>
        <w:t xml:space="preserve">e also noticed that in some other experiments, after implementing </w:t>
      </w:r>
      <w:r>
        <w:t xml:space="preserve">different models and using different datasets, researchers could hardly get an accuracy </w:t>
      </w:r>
      <w:r w:rsidR="00A95C48">
        <w:t xml:space="preserve">more </w:t>
      </w:r>
      <w:r>
        <w:t xml:space="preserve">than 0.40, which means that there is still a long way to go before we find out </w:t>
      </w:r>
      <w:r w:rsidR="00A95C48">
        <w:t>better</w:t>
      </w:r>
      <w:r>
        <w:t xml:space="preserve"> text summarization method</w:t>
      </w:r>
      <w:r w:rsidR="00A95C48">
        <w:t>s.</w:t>
      </w:r>
      <w:r>
        <w:t>.</w:t>
      </w:r>
    </w:p>
    <w:p w14:paraId="3440D9AE" w14:textId="77777777" w:rsidR="00F37BFE" w:rsidRDefault="00F37BFE" w:rsidP="00F37BFE">
      <w:pPr>
        <w:pStyle w:val="ACLTextFirstLine"/>
        <w:ind w:firstLine="0"/>
      </w:pPr>
    </w:p>
    <w:p w14:paraId="5CB06B08" w14:textId="30A2A976" w:rsidR="00AA7BE3" w:rsidRDefault="00F37BFE" w:rsidP="00F37BFE">
      <w:pPr>
        <w:pStyle w:val="ACLTextFirstLine"/>
        <w:ind w:firstLine="0"/>
      </w:pPr>
      <w:r>
        <w:t xml:space="preserve">For the future work, we could incorporate named-entity recognition to improve the performance of our models. In one of our output examples, we find that the models still have troubles in dealing with proper noun, such as “reds” which could indicate a kind of color or soccer clubs and in different scenarios, “reds” could mean different clubs, and “Anfield” which could indicate a county in Liverpool, a stadium or a soccer club. By implementing named-entity recognition, we could solve this problem and improve the performance of our models. </w:t>
      </w:r>
      <w:r w:rsidR="008C0BCF">
        <w:t xml:space="preserve">In addition, we could incorporate techniques to deal with </w:t>
      </w:r>
      <w:r w:rsidR="00A056EC">
        <w:t xml:space="preserve">rare and </w:t>
      </w:r>
      <w:r w:rsidR="008C0BCF">
        <w:t>out-of-vocabulary words that is a major problem for text summarization.</w:t>
      </w:r>
    </w:p>
    <w:p w14:paraId="7C933497" w14:textId="1B5D130C"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3" w:name="AhoUllman72"/>
      <w:r w:rsidRPr="006C26F9">
        <w:t xml:space="preserve">[1] </w:t>
      </w:r>
      <w:r w:rsidR="00395714" w:rsidRPr="006C26F9">
        <w:t>Sutskever, I., Vinyals,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[2] Mike Lewis, Yinhan Liu, Naman Goyal, Marjan Ghazvininejad, Abdelrahman Mohamed, Omer Levy, Ves Stoyanov, &amp; Luke Zettlemoyer.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[3] Colin Raffel and Noam Shazeer and Adam Roberts and Katherine Lee and Sharan Narang and Michael Matena and Yanqi Zhou and Wei Li and Peter J. Liu (2019). Exploring the Limits of Transfer Learning with a Unified Text-to-Text TransformerCoRR,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“Cnn/dailymail dataset,” CoNLL, 2016</w:t>
      </w:r>
    </w:p>
    <w:p w14:paraId="39A46CF2" w14:textId="734C27E3" w:rsidR="00643FD3" w:rsidRPr="006C26F9" w:rsidRDefault="00643FD3" w:rsidP="00643FD3">
      <w:pPr>
        <w:pStyle w:val="ACLReferencesText"/>
      </w:pPr>
      <w:r w:rsidRPr="006C26F9">
        <w:t>[6] Shashi Narayan, Shay B. Cohen, &amp; Mirella Lapata (2018). Don't Give Me the Details, Just the Summary! Topic-Aware Convolutional Neural Networks for Extreme SummarizationArXiv, abs/1808.08745.</w:t>
      </w:r>
    </w:p>
    <w:p w14:paraId="118BAC3B" w14:textId="3881C7F2" w:rsidR="00643FD3" w:rsidRPr="006C26F9" w:rsidRDefault="00643FD3" w:rsidP="00643FD3">
      <w:pPr>
        <w:pStyle w:val="ACLReferencesText"/>
      </w:pPr>
      <w:r w:rsidRPr="006C26F9">
        <w:t>[7] Jacob Devlin and Ming-Wei Chang and Kenton Lee and Kristina Toutanova (2018). BERT: Pre-training of Deep Bidirectional Transformers for Language UnderstandingCoRR, abs/1810.04805.</w:t>
      </w:r>
    </w:p>
    <w:p w14:paraId="1AFEB566" w14:textId="67E56940" w:rsidR="003D2038" w:rsidRPr="006C26F9" w:rsidRDefault="003D2038" w:rsidP="004244CB">
      <w:pPr>
        <w:pStyle w:val="ACLReferencesText"/>
      </w:pPr>
      <w:r w:rsidRPr="006C26F9">
        <w:lastRenderedPageBreak/>
        <w:t>[8] Radford, A., Narasimhan, K., Salimans, T., and Sutskever, I. Improving language understanding by generative pre-training. OpenAI.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Thomas Wolf and Lysandre Debut and Victor Sanh and Julien Chaumond and Clement Delangue and Anthony Moi and Pierric Cistac and Tim Rault and Rémi Louf and Morgan Funtowicz and Jamie Brew (2019). HuggingFace's Transformers: State-of-the-art Natural Language ProcessingCoRR, abs/1910.03771.</w:t>
      </w:r>
    </w:p>
    <w:p w14:paraId="498F1B12" w14:textId="2DF20095" w:rsidR="00A82FF6" w:rsidRPr="006C26F9" w:rsidRDefault="00A82FF6" w:rsidP="00643FD3">
      <w:pPr>
        <w:pStyle w:val="ACLReferencesText"/>
      </w:pPr>
      <w:r w:rsidRPr="006C26F9">
        <w:t>[10] X. Carreras, L. Màrquez, Introduction to the CoNLL-2004 shared task: Semantic role label-ing,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[11] U.Hahn and I.Mani 2000. The challenges of automatic summarization. IEEE Computer, 33(11): 29-36</w:t>
      </w:r>
    </w:p>
    <w:p w14:paraId="2C922200" w14:textId="3EB4AB89" w:rsidR="003D51D5" w:rsidRPr="006C26F9" w:rsidRDefault="003D51D5" w:rsidP="003D51D5">
      <w:pPr>
        <w:pStyle w:val="ACLReferencesText"/>
      </w:pPr>
      <w:r w:rsidRPr="006C26F9">
        <w:t>[12] Luhn,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[13] C. M. A. See, P. Liu, “Get to the point: Summarization with pointer-generator networks,” CoRR, 2017.</w:t>
      </w:r>
    </w:p>
    <w:p w14:paraId="1256C771" w14:textId="25E72FB5" w:rsidR="003E6D84" w:rsidRPr="006C26F9" w:rsidRDefault="006F5D6D" w:rsidP="003E6D84">
      <w:pPr>
        <w:pStyle w:val="ACLReferencesText"/>
      </w:pPr>
      <w:r w:rsidRPr="006C26F9">
        <w:t xml:space="preserve"> </w:t>
      </w:r>
      <w:r w:rsidR="003E6D84" w:rsidRPr="006C26F9">
        <w:t>[14] Nallapati, R., Zhou, B., Santos, C. D., Gulcehre, C., and Xiang, B. (2016). Abstractive Text Summarization Using Sequence-to-Sequence RNNs and Beyond. In CoRR, arXiv:1602.06023.</w:t>
      </w:r>
    </w:p>
    <w:p w14:paraId="26C5BD67" w14:textId="30AEC7F8" w:rsidR="00C23CE3" w:rsidRPr="006C26F9" w:rsidRDefault="00C23CE3" w:rsidP="00AE2F20">
      <w:pPr>
        <w:pStyle w:val="ACLReferencesText"/>
      </w:pPr>
      <w:r w:rsidRPr="006C26F9">
        <w:t>[1</w:t>
      </w:r>
      <w:r w:rsidR="003E6D84" w:rsidRPr="006C26F9">
        <w:t>5</w:t>
      </w:r>
      <w:r w:rsidRPr="006C26F9">
        <w:t>] P. L. et al., “Generating wikipedia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3"/>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40C44" w14:textId="77777777" w:rsidR="0042110C" w:rsidRDefault="0042110C" w:rsidP="00667A63">
      <w:pPr>
        <w:spacing w:after="0" w:line="240" w:lineRule="auto"/>
      </w:pPr>
      <w:r>
        <w:separator/>
      </w:r>
    </w:p>
    <w:p w14:paraId="77675202" w14:textId="77777777" w:rsidR="0042110C" w:rsidRDefault="0042110C"/>
  </w:endnote>
  <w:endnote w:type="continuationSeparator" w:id="0">
    <w:p w14:paraId="1E1058F9" w14:textId="77777777" w:rsidR="0042110C" w:rsidRDefault="0042110C" w:rsidP="00667A63">
      <w:pPr>
        <w:spacing w:after="0" w:line="240" w:lineRule="auto"/>
      </w:pPr>
      <w:r>
        <w:continuationSeparator/>
      </w:r>
    </w:p>
    <w:p w14:paraId="7431FCC1" w14:textId="77777777" w:rsidR="0042110C" w:rsidRDefault="0042110C"/>
    <w:p w14:paraId="3CBA7013" w14:textId="77777777" w:rsidR="0042110C" w:rsidRDefault="0042110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3391B" w14:textId="77777777" w:rsidR="0042110C" w:rsidRDefault="0042110C" w:rsidP="00F422C2">
      <w:pPr>
        <w:spacing w:after="0" w:line="240" w:lineRule="auto"/>
        <w:contextualSpacing/>
      </w:pPr>
      <w:r>
        <w:separator/>
      </w:r>
    </w:p>
  </w:footnote>
  <w:footnote w:type="continuationSeparator" w:id="0">
    <w:p w14:paraId="029F8F4A" w14:textId="77777777" w:rsidR="0042110C" w:rsidRDefault="0042110C" w:rsidP="00667A63">
      <w:pPr>
        <w:spacing w:after="0" w:line="240" w:lineRule="auto"/>
      </w:pPr>
      <w:r>
        <w:continuationSeparator/>
      </w:r>
    </w:p>
    <w:p w14:paraId="3E48B5B7" w14:textId="77777777" w:rsidR="0042110C" w:rsidRDefault="004211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 w:numId="16">
    <w:abstractNumId w:val="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80580"/>
    <w:rsid w:val="00085B21"/>
    <w:rsid w:val="000C742D"/>
    <w:rsid w:val="000D0BBD"/>
    <w:rsid w:val="000F4224"/>
    <w:rsid w:val="000F468A"/>
    <w:rsid w:val="000F601D"/>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D6CF1"/>
    <w:rsid w:val="001E3C48"/>
    <w:rsid w:val="001E3D23"/>
    <w:rsid w:val="001E4AF3"/>
    <w:rsid w:val="001F2220"/>
    <w:rsid w:val="001F52AB"/>
    <w:rsid w:val="001F7D4A"/>
    <w:rsid w:val="00201C73"/>
    <w:rsid w:val="00205816"/>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3339"/>
    <w:rsid w:val="002F40FB"/>
    <w:rsid w:val="002F612B"/>
    <w:rsid w:val="002F7011"/>
    <w:rsid w:val="00301704"/>
    <w:rsid w:val="00307052"/>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110C"/>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0E4C"/>
    <w:rsid w:val="00506627"/>
    <w:rsid w:val="00521291"/>
    <w:rsid w:val="00522F2F"/>
    <w:rsid w:val="005449E1"/>
    <w:rsid w:val="00552469"/>
    <w:rsid w:val="005773E3"/>
    <w:rsid w:val="00582529"/>
    <w:rsid w:val="00582561"/>
    <w:rsid w:val="0058685E"/>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B121B"/>
    <w:rsid w:val="006C26F9"/>
    <w:rsid w:val="006C55E9"/>
    <w:rsid w:val="006C6AF0"/>
    <w:rsid w:val="006D2F22"/>
    <w:rsid w:val="006D3639"/>
    <w:rsid w:val="006D4060"/>
    <w:rsid w:val="006E09ED"/>
    <w:rsid w:val="006E75D0"/>
    <w:rsid w:val="006F5D6D"/>
    <w:rsid w:val="00726D45"/>
    <w:rsid w:val="00732497"/>
    <w:rsid w:val="007376E2"/>
    <w:rsid w:val="007508B2"/>
    <w:rsid w:val="007623E7"/>
    <w:rsid w:val="007B1755"/>
    <w:rsid w:val="007C4397"/>
    <w:rsid w:val="007D2776"/>
    <w:rsid w:val="007D6787"/>
    <w:rsid w:val="007F4B77"/>
    <w:rsid w:val="0080189F"/>
    <w:rsid w:val="00816178"/>
    <w:rsid w:val="00823BD1"/>
    <w:rsid w:val="00847576"/>
    <w:rsid w:val="00852049"/>
    <w:rsid w:val="008541F8"/>
    <w:rsid w:val="00854290"/>
    <w:rsid w:val="008578D9"/>
    <w:rsid w:val="00861EB0"/>
    <w:rsid w:val="00865A6D"/>
    <w:rsid w:val="0087257A"/>
    <w:rsid w:val="008735DC"/>
    <w:rsid w:val="008765B5"/>
    <w:rsid w:val="00894970"/>
    <w:rsid w:val="008A49DE"/>
    <w:rsid w:val="008B2D46"/>
    <w:rsid w:val="008C0BCF"/>
    <w:rsid w:val="008C39FF"/>
    <w:rsid w:val="008E05B4"/>
    <w:rsid w:val="008E0E50"/>
    <w:rsid w:val="008E6433"/>
    <w:rsid w:val="00907919"/>
    <w:rsid w:val="00910283"/>
    <w:rsid w:val="0091330B"/>
    <w:rsid w:val="0092671C"/>
    <w:rsid w:val="0093349C"/>
    <w:rsid w:val="009352C4"/>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4839"/>
    <w:rsid w:val="009C65FC"/>
    <w:rsid w:val="009F4873"/>
    <w:rsid w:val="009F595C"/>
    <w:rsid w:val="00A056EC"/>
    <w:rsid w:val="00A06AD0"/>
    <w:rsid w:val="00A3790E"/>
    <w:rsid w:val="00A434BA"/>
    <w:rsid w:val="00A45C6C"/>
    <w:rsid w:val="00A47EDF"/>
    <w:rsid w:val="00A50FF9"/>
    <w:rsid w:val="00A5424A"/>
    <w:rsid w:val="00A6714C"/>
    <w:rsid w:val="00A82FF6"/>
    <w:rsid w:val="00A834C1"/>
    <w:rsid w:val="00A90828"/>
    <w:rsid w:val="00A934D7"/>
    <w:rsid w:val="00A95291"/>
    <w:rsid w:val="00A95C48"/>
    <w:rsid w:val="00A96360"/>
    <w:rsid w:val="00AA2168"/>
    <w:rsid w:val="00AA3BB4"/>
    <w:rsid w:val="00AA7BE3"/>
    <w:rsid w:val="00AB1AE8"/>
    <w:rsid w:val="00AC7CEE"/>
    <w:rsid w:val="00AE0E8E"/>
    <w:rsid w:val="00AE2F20"/>
    <w:rsid w:val="00AE3530"/>
    <w:rsid w:val="00AF2F07"/>
    <w:rsid w:val="00AF456F"/>
    <w:rsid w:val="00AF763D"/>
    <w:rsid w:val="00B01021"/>
    <w:rsid w:val="00B02EE2"/>
    <w:rsid w:val="00B14754"/>
    <w:rsid w:val="00B30EDF"/>
    <w:rsid w:val="00B369BD"/>
    <w:rsid w:val="00B41259"/>
    <w:rsid w:val="00B44651"/>
    <w:rsid w:val="00B44EF1"/>
    <w:rsid w:val="00B51E5B"/>
    <w:rsid w:val="00B55A9B"/>
    <w:rsid w:val="00B618F7"/>
    <w:rsid w:val="00B86D75"/>
    <w:rsid w:val="00BA4491"/>
    <w:rsid w:val="00BC1581"/>
    <w:rsid w:val="00BD4A80"/>
    <w:rsid w:val="00BE43C2"/>
    <w:rsid w:val="00BE48C4"/>
    <w:rsid w:val="00BE71E7"/>
    <w:rsid w:val="00BE71FB"/>
    <w:rsid w:val="00BF0898"/>
    <w:rsid w:val="00C00B97"/>
    <w:rsid w:val="00C11A93"/>
    <w:rsid w:val="00C1585C"/>
    <w:rsid w:val="00C22643"/>
    <w:rsid w:val="00C23CE3"/>
    <w:rsid w:val="00C3597C"/>
    <w:rsid w:val="00C4163A"/>
    <w:rsid w:val="00C424DC"/>
    <w:rsid w:val="00C46ABC"/>
    <w:rsid w:val="00C71167"/>
    <w:rsid w:val="00C71B17"/>
    <w:rsid w:val="00C83423"/>
    <w:rsid w:val="00C9197E"/>
    <w:rsid w:val="00CA072F"/>
    <w:rsid w:val="00CA4DC2"/>
    <w:rsid w:val="00CD72A1"/>
    <w:rsid w:val="00CE2DD0"/>
    <w:rsid w:val="00CE3460"/>
    <w:rsid w:val="00CE75D4"/>
    <w:rsid w:val="00D06FEB"/>
    <w:rsid w:val="00D34016"/>
    <w:rsid w:val="00D41940"/>
    <w:rsid w:val="00D5039D"/>
    <w:rsid w:val="00D51821"/>
    <w:rsid w:val="00D530D1"/>
    <w:rsid w:val="00D5598D"/>
    <w:rsid w:val="00D5672D"/>
    <w:rsid w:val="00D6253B"/>
    <w:rsid w:val="00D7629C"/>
    <w:rsid w:val="00D77CE6"/>
    <w:rsid w:val="00D82724"/>
    <w:rsid w:val="00D828A1"/>
    <w:rsid w:val="00D8333B"/>
    <w:rsid w:val="00D85827"/>
    <w:rsid w:val="00D933D3"/>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A2229"/>
    <w:rsid w:val="00ED3123"/>
    <w:rsid w:val="00EE2E06"/>
    <w:rsid w:val="00F15CC3"/>
    <w:rsid w:val="00F35565"/>
    <w:rsid w:val="00F35938"/>
    <w:rsid w:val="00F37BFE"/>
    <w:rsid w:val="00F422C2"/>
    <w:rsid w:val="00F50EE5"/>
    <w:rsid w:val="00F630D4"/>
    <w:rsid w:val="00F661A6"/>
    <w:rsid w:val="00F71242"/>
    <w:rsid w:val="00F724A3"/>
    <w:rsid w:val="00F728C5"/>
    <w:rsid w:val="00FD02F0"/>
    <w:rsid w:val="00FE131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ACF7-B649-479D-AFEA-4BBB851C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47</cp:revision>
  <cp:lastPrinted>2020-11-19T10:17:00Z</cp:lastPrinted>
  <dcterms:created xsi:type="dcterms:W3CDTF">2020-12-01T06:00:00Z</dcterms:created>
  <dcterms:modified xsi:type="dcterms:W3CDTF">2020-12-05T19:21:00Z</dcterms:modified>
</cp:coreProperties>
</file>