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7CE6" w:rsidRPr="00026932" w:rsidRDefault="00657CE6" w:rsidP="00657CE6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t>EMBARGOS DE DECLARAÇÃO Nº 0000000-00.0000.0.00.0000/50000</w:t>
      </w:r>
    </w:p>
    <w:p w:rsidR="00657CE6" w:rsidRPr="00026932" w:rsidRDefault="00BE5F67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COMARCA DE SÃO PAULO - 44ª VARA CÍVEL DO FORO CENTRAL</w:t>
      </w:r>
    </w:p>
    <w:p w:rsidR="00657CE6" w:rsidRPr="00256172" w:rsidRDefault="0009273D" w:rsidP="00256172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Embargante: Praça 144 Empreendimento Imobiliário LTDA. e outros</w:t>
      </w:r>
    </w:p>
    <w:p w:rsidR="00657CE6" w:rsidRPr="00256172" w:rsidRDefault="0009273D" w:rsidP="00657CE6">
      <w:pPr>
        <w:spacing w:after="0" w:line="360" w:lineRule="auto"/>
        <w:jc w:val="both"/>
        <w:rPr>
          <w:rFonts w:ascii="Arial" w:hAnsi="Arial" w:cs="Arial"/>
          <w:b/>
          <w:sz w:val="24"/>
        </w:rPr>
      </w:pPr>
      <w:r>
        <w:t>Embargada: Amélia AUTOR(A)</w:t>
      </w:r>
    </w:p>
    <w:p w:rsidR="00BE5F67" w:rsidRDefault="00BE5F67" w:rsidP="00657CE6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jc w:val="both"/>
        <w:rPr>
          <w:rFonts w:ascii="Arial" w:hAnsi="Arial"/>
          <w:b/>
          <w:sz w:val="24"/>
          <w:szCs w:val="24"/>
        </w:rPr>
      </w:pPr>
      <w:r>
        <w:t>VOTO nº 10.288</w:t>
      </w:r>
    </w:p>
    <w:p w:rsidR="00657CE6" w:rsidRPr="00026932" w:rsidRDefault="00657CE6" w:rsidP="00657CE6">
      <w:pPr>
        <w:pStyle w:val="Recuodecorpodetexto"/>
        <w:ind w:left="0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pStyle w:val="Recuodecorpodetexto"/>
        <w:rPr>
          <w:rFonts w:ascii="Arial" w:hAnsi="Arial" w:cs="Arial"/>
          <w:sz w:val="24"/>
          <w:szCs w:val="24"/>
        </w:rPr>
      </w:pPr>
      <w:r/>
    </w:p>
    <w:p w:rsidR="00E86F1A" w:rsidRPr="00E86F1A" w:rsidRDefault="00657CE6" w:rsidP="00E86F1A">
      <w:pPr>
        <w:pStyle w:val="Recuodecorpodetexto"/>
        <w:rPr>
          <w:rFonts w:ascii="Arial" w:hAnsi="Arial" w:cs="Arial"/>
          <w:sz w:val="22"/>
          <w:szCs w:val="22"/>
        </w:rPr>
      </w:pPr>
      <w:r>
        <w:t>EMBARGOS DE DECLARAÇÃO – omissão – Acórdão que apreciou os pontos expostos pela parte em sua peça recursal, negando provimento ao recurso e mantendo a r. sentença tal como lançada - Embargante que busca, na verdade, a reforma do julgado, emprestando efeitos infringentes a estes embargos, que não se prestam a tal finalidade – Embargos rejeitados.</w:t>
      </w:r>
    </w:p>
    <w:p w:rsidR="00657CE6" w:rsidRPr="00CA43F9" w:rsidRDefault="00657CE6" w:rsidP="00657CE6">
      <w:pPr>
        <w:pStyle w:val="Recuodecorpodetexto"/>
        <w:rPr>
          <w:rFonts w:ascii="Arial" w:hAnsi="Arial" w:cs="Arial"/>
          <w:sz w:val="22"/>
          <w:szCs w:val="22"/>
        </w:rPr>
      </w:pPr>
      <w:r/>
    </w:p>
    <w:p w:rsidR="00657CE6" w:rsidRPr="00E86F1A" w:rsidRDefault="00657CE6" w:rsidP="00E86F1A">
      <w:pPr>
        <w:spacing w:after="0" w:line="360" w:lineRule="auto"/>
        <w:ind w:left="2268"/>
        <w:jc w:val="both"/>
        <w:rPr>
          <w:b/>
          <w:i/>
          <w:sz w:val="24"/>
          <w:szCs w:val="24"/>
        </w:rPr>
      </w:pPr>
      <w:r>
        <w:tab/>
      </w:r>
    </w:p>
    <w:p w:rsidR="00F93752" w:rsidRPr="00F93752" w:rsidRDefault="00657CE6" w:rsidP="00F93752">
      <w:pPr>
        <w:spacing w:after="0" w:line="360" w:lineRule="auto"/>
        <w:ind w:firstLine="1418"/>
        <w:jc w:val="both"/>
        <w:rPr>
          <w:rFonts w:ascii="Arial" w:hAnsi="Arial" w:cs="Arial"/>
          <w:b/>
          <w:bCs/>
          <w:sz w:val="24"/>
          <w:szCs w:val="24"/>
        </w:rPr>
      </w:pPr>
      <w:r>
        <w:t>Vistos.</w:t>
      </w:r>
    </w:p>
    <w:p w:rsidR="00F93752" w:rsidRDefault="00F93752" w:rsidP="00F93752">
      <w:pPr>
        <w:spacing w:after="0" w:line="360" w:lineRule="auto"/>
        <w:ind w:firstLine="1418"/>
        <w:jc w:val="both"/>
        <w:rPr>
          <w:rFonts w:ascii="Arial" w:hAnsi="Arial" w:cs="Arial"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Trata-se de embargos de declaração opostos por Praça 144 Empreendimentos buscando a reforma do julgado, alegando omissão no v. acórdão quanto ao enfrentamento de dispositivos legais essenciais (art. 133, §1º, do CPC, e arts. 49-A e 50 do Código Civil), requerendo o provimento dos embargos para reconhecer a ilegitimidade passiva dos corréus JLJ Empreendimentos e Participações – EIRELI e Josué AUTOR(A) e extinguir o processo sem exame de mérito, nos termos do art. 485, VI, do CPC.</w:t>
      </w:r>
    </w:p>
    <w:p w:rsidR="000E5B84" w:rsidRDefault="000E5B84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>
        <w:t>É o relatório.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b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Os embargos devem ser conhecidos e rejeitados.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 xml:space="preserve">Com efeito, o v. acórdão de folhas 1715/1723 apreciou os pontos expostos pelo apelante/embargante, negando provimento ao recurso. </w:t>
      </w:r>
    </w:p>
    <w:p w:rsidR="00657CE6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O embargante opôs estes embargos declaratórios visando rediscutir teses que foram devidamente apreciadas no v. acórdão atacado, observando que a via processual escolhida não se presta a reexaminar matéria já apreciada, e não se verifica quaisquer das hipóteses elencadas no artigo 1.022 do Código de AUTOR(A), conforme segue:</w:t>
      </w:r>
    </w:p>
    <w:p w:rsidR="00E86F1A" w:rsidRPr="00026932" w:rsidRDefault="00E86F1A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“Art. 1.022. Cabem embargos de declaração contra qualquer decisão judicial para: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 - esclarecer obscuridade ou eliminar contradição;</w:t>
      </w:r>
    </w:p>
    <w:p w:rsidR="00657CE6" w:rsidRPr="00094490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  <w:sz w:val="22"/>
          <w:szCs w:val="22"/>
        </w:rPr>
      </w:pPr>
      <w:r>
        <w:t>II - suprir omissão de ponto ou questão sobre o qual devia se pronunciar o juiz de ofício ou a requerimento;</w:t>
      </w:r>
    </w:p>
    <w:p w:rsidR="00657CE6" w:rsidRPr="00026932" w:rsidRDefault="00657CE6" w:rsidP="00657CE6">
      <w:pPr>
        <w:pStyle w:val="NormalWeb"/>
        <w:spacing w:before="0" w:beforeAutospacing="0" w:after="0" w:afterAutospacing="0" w:line="360" w:lineRule="auto"/>
        <w:ind w:left="1418"/>
        <w:jc w:val="both"/>
        <w:rPr>
          <w:b/>
          <w:color w:val="000000"/>
        </w:rPr>
      </w:pPr>
      <w:r>
        <w:t>III - corrigir erro material.”</w:t>
      </w:r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/>
    </w:p>
    <w:p w:rsidR="00E86F1A" w:rsidRDefault="00E86F1A" w:rsidP="00E86F1A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No caso em tela, o embargante busca, em verdade, atribuir efeito infringente ao recurso, rediscutindo o mérito da decisão ao insistir na ilegitimidade passiva que foi devidamente analisada e afastada no v. acórdão.</w:t>
      </w:r>
    </w:p>
    <w:p w:rsidR="00E86F1A" w:rsidRDefault="00E86F1A" w:rsidP="00E86F1A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>Não há qualquer omissão, contradição, obscuridade ou erro material a ser sanado, mas mera irresignação com o resultado do julgamento, sendo certo que a oposição de embargos de declaração não é a via adequada para tal finalidade.</w:t>
      </w:r>
    </w:p>
    <w:p w:rsidR="00657CE6" w:rsidRPr="00026932" w:rsidRDefault="00A6075A" w:rsidP="00E86F1A">
      <w:pPr>
        <w:spacing w:after="0" w:line="360" w:lineRule="auto"/>
        <w:ind w:firstLine="1418"/>
        <w:jc w:val="both"/>
        <w:rPr>
          <w:rFonts w:ascii="Arial" w:hAnsi="Arial"/>
          <w:sz w:val="24"/>
          <w:szCs w:val="24"/>
        </w:rPr>
      </w:pPr>
      <w:r>
        <w:t xml:space="preserve">Reforço, por fim, que não se vislumbra no v. acórdão ofensas a dispositivos legais, para fins de prequestionamento. </w:t>
      </w:r>
    </w:p>
    <w:p w:rsidR="00F12A3B" w:rsidRPr="00026932" w:rsidRDefault="00F12A3B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/>
    </w:p>
    <w:p w:rsidR="00657CE6" w:rsidRPr="00026932" w:rsidRDefault="00657CE6" w:rsidP="00657CE6">
      <w:pPr>
        <w:spacing w:after="0" w:line="360" w:lineRule="auto"/>
        <w:ind w:firstLine="1418"/>
        <w:jc w:val="both"/>
        <w:rPr>
          <w:rFonts w:ascii="Arial" w:hAnsi="Arial" w:cs="Arial"/>
          <w:iCs/>
          <w:sz w:val="24"/>
          <w:szCs w:val="24"/>
        </w:rPr>
      </w:pPr>
      <w:r>
        <w:t>Nestes termos, pelo meu voto, rejeito os embargos de declaração.</w:t>
      </w:r>
    </w:p>
    <w:p w:rsidR="00657CE6" w:rsidRPr="000665B8" w:rsidRDefault="00657CE6" w:rsidP="00E86F1A">
      <w:pPr>
        <w:spacing w:after="0" w:line="360" w:lineRule="auto"/>
        <w:jc w:val="both"/>
        <w:rPr>
          <w:rFonts w:ascii="Arial" w:hAnsi="Arial" w:cs="Arial"/>
          <w:iCs/>
          <w:sz w:val="24"/>
        </w:rPr>
      </w:pPr>
      <w:r/>
    </w:p>
    <w:p w:rsidR="00657CE6" w:rsidRPr="000665B8" w:rsidRDefault="00657CE6" w:rsidP="00657CE6">
      <w:pPr>
        <w:spacing w:after="0" w:line="360" w:lineRule="auto"/>
        <w:jc w:val="center"/>
        <w:rPr>
          <w:rFonts w:ascii="Arial" w:hAnsi="Arial"/>
          <w:b/>
          <w:sz w:val="24"/>
        </w:rPr>
      </w:pPr>
      <w:r>
        <w:tab/>
        <w:t>JOSÉ AUGUSTO GENOFRE MARTINS</w:t>
      </w:r>
    </w:p>
    <w:p w:rsidR="00CE51C9" w:rsidRDefault="00657CE6" w:rsidP="00657CE6">
      <w:pPr>
        <w:spacing w:after="0" w:line="360" w:lineRule="auto"/>
        <w:jc w:val="center"/>
      </w:pPr>
      <w:r>
        <w:t xml:space="preserve">        Relator</w:t>
      </w:r>
    </w:p>
    <w:sectPr w:rsidR="00CE51C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60A48" w:rsidRDefault="00560A48" w:rsidP="00657CE6">
      <w:pPr>
        <w:spacing w:after="0" w:line="240" w:lineRule="auto"/>
      </w:pPr>
      <w:r>
        <w:separator/>
      </w:r>
    </w:p>
  </w:endnote>
  <w:endnote w:type="continuationSeparator" w:id="0">
    <w:p w:rsidR="00560A48" w:rsidRDefault="00560A48" w:rsidP="00657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60A48" w:rsidRDefault="00560A48" w:rsidP="00657CE6">
      <w:pPr>
        <w:spacing w:after="0" w:line="240" w:lineRule="auto"/>
      </w:pPr>
      <w:r>
        <w:separator/>
      </w:r>
    </w:p>
  </w:footnote>
  <w:footnote w:type="continuationSeparator" w:id="0">
    <w:p w:rsidR="00560A48" w:rsidRDefault="00560A48" w:rsidP="00657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  <w:tbl>
    <w:tblPr>
      <w:tblW w:w="8360" w:type="dxa"/>
      <w:tblInd w:w="83" w:type="dxa"/>
      <w:tblLayout w:type="fixed"/>
      <w:tblLook w:val="0000" w:firstRow="0" w:lastRow="0" w:firstColumn="0" w:lastColumn="0" w:noHBand="0" w:noVBand="0"/>
    </w:tblPr>
    <w:tblGrid>
      <w:gridCol w:w="2490"/>
      <w:gridCol w:w="5870"/>
    </w:tblGrid>
    <w:tr w:rsidR="00F347CF" w:rsidRPr="000665B8" w:rsidTr="00F347CF">
      <w:trPr>
        <w:trHeight w:val="559"/>
      </w:trPr>
      <w:tc>
        <w:tcPr>
          <w:tcW w:w="249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 xml:space="preserve">       </w:t>
          </w:r>
          <w:r w:rsidRPr="000665B8">
            <w:rPr>
              <w:rFonts w:ascii="Times New Roman" w:hAnsi="Times New Roman"/>
            </w:rPr>
            <w:t xml:space="preserve"> </w:t>
          </w:r>
          <w:r w:rsidR="00DC3F28" w:rsidRPr="00DC3F28">
            <w:rPr>
              <w:rFonts w:ascii="Times New Roman" w:hAnsi="Times New Roman"/>
              <w:noProof/>
              <w:lang w:eastAsia="pt-B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90.75pt;height:59.25pt;visibility:visible">
                <v:imagedata r:id="rId1" o:title=""/>
              </v:shape>
            </w:pict>
          </w:r>
        </w:p>
      </w:tc>
      <w:tc>
        <w:tcPr>
          <w:tcW w:w="5870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rPr>
              <w:rFonts w:ascii="Times New Roman" w:hAnsi="Times New Roman"/>
              <w:b/>
              <w:bCs/>
            </w:rPr>
          </w:pP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PODER JUDICIÁRIO</w:t>
          </w:r>
        </w:p>
        <w:p w:rsidR="00F347CF" w:rsidRPr="000665B8" w:rsidRDefault="00F347CF" w:rsidP="00F347CF">
          <w:pPr>
            <w:tabs>
              <w:tab w:val="left" w:pos="1905"/>
            </w:tabs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  <w:bCs/>
            </w:rPr>
          </w:pPr>
          <w:r w:rsidRPr="000665B8">
            <w:rPr>
              <w:rFonts w:ascii="Times New Roman" w:hAnsi="Times New Roman"/>
              <w:b/>
              <w:bCs/>
            </w:rPr>
            <w:t>TRIBUNAL DE JUSTIÇA DO ESTADO DE SÃO PAULO</w:t>
          </w:r>
        </w:p>
        <w:p w:rsidR="00F347CF" w:rsidRPr="000665B8" w:rsidRDefault="00F347CF" w:rsidP="00F347CF">
          <w:pPr>
            <w:autoSpaceDE w:val="0"/>
            <w:autoSpaceDN w:val="0"/>
            <w:adjustRightInd w:val="0"/>
            <w:spacing w:after="120" w:line="240" w:lineRule="auto"/>
            <w:jc w:val="center"/>
            <w:rPr>
              <w:rFonts w:ascii="Times New Roman" w:hAnsi="Times New Roman"/>
              <w:b/>
            </w:rPr>
          </w:pPr>
          <w:r w:rsidRPr="000665B8">
            <w:rPr>
              <w:rFonts w:ascii="Times New Roman" w:hAnsi="Times New Roman"/>
              <w:b/>
            </w:rPr>
            <w:t xml:space="preserve">Seção de Direito Privado - </w:t>
          </w:r>
          <w:r w:rsidR="00657CE6">
            <w:rPr>
              <w:rFonts w:ascii="Times New Roman" w:hAnsi="Times New Roman"/>
              <w:b/>
            </w:rPr>
            <w:t>3</w:t>
          </w:r>
          <w:r w:rsidR="000103F0">
            <w:rPr>
              <w:rFonts w:ascii="Times New Roman" w:hAnsi="Times New Roman"/>
              <w:b/>
            </w:rPr>
            <w:t>2</w:t>
          </w:r>
          <w:r w:rsidRPr="000665B8">
            <w:rPr>
              <w:rFonts w:ascii="Times New Roman" w:hAnsi="Times New Roman"/>
              <w:b/>
            </w:rPr>
            <w:t>ª Câmara</w:t>
          </w:r>
        </w:p>
      </w:tc>
    </w:tr>
  </w:tbl>
  <w:p w:rsidR="00F347CF" w:rsidRPr="000665B8" w:rsidRDefault="00F347CF" w:rsidP="00F347CF">
    <w:pPr>
      <w:pStyle w:val="Cabealho"/>
      <w:spacing w:after="120" w:line="240" w:lineRule="auto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57CE6"/>
    <w:rsid w:val="000103F0"/>
    <w:rsid w:val="00026932"/>
    <w:rsid w:val="00045525"/>
    <w:rsid w:val="00050B62"/>
    <w:rsid w:val="0009273D"/>
    <w:rsid w:val="00094490"/>
    <w:rsid w:val="000A45B1"/>
    <w:rsid w:val="000B7EB1"/>
    <w:rsid w:val="000E5B84"/>
    <w:rsid w:val="001E5948"/>
    <w:rsid w:val="0024500F"/>
    <w:rsid w:val="00251320"/>
    <w:rsid w:val="00256172"/>
    <w:rsid w:val="002600F3"/>
    <w:rsid w:val="00353B27"/>
    <w:rsid w:val="003C062C"/>
    <w:rsid w:val="003F4037"/>
    <w:rsid w:val="004E4B0C"/>
    <w:rsid w:val="005130A5"/>
    <w:rsid w:val="00560A48"/>
    <w:rsid w:val="005B15AC"/>
    <w:rsid w:val="005D0ED6"/>
    <w:rsid w:val="00656946"/>
    <w:rsid w:val="00657CE6"/>
    <w:rsid w:val="0069563B"/>
    <w:rsid w:val="006D046F"/>
    <w:rsid w:val="006F6FF5"/>
    <w:rsid w:val="00704ED2"/>
    <w:rsid w:val="00713BCB"/>
    <w:rsid w:val="0072250D"/>
    <w:rsid w:val="00744F22"/>
    <w:rsid w:val="007674DE"/>
    <w:rsid w:val="007C0C85"/>
    <w:rsid w:val="007E433F"/>
    <w:rsid w:val="008073C2"/>
    <w:rsid w:val="00826E4B"/>
    <w:rsid w:val="0083077B"/>
    <w:rsid w:val="00917847"/>
    <w:rsid w:val="00956A6C"/>
    <w:rsid w:val="00A35568"/>
    <w:rsid w:val="00A6075A"/>
    <w:rsid w:val="00A6123A"/>
    <w:rsid w:val="00A851DE"/>
    <w:rsid w:val="00B161F1"/>
    <w:rsid w:val="00B45C3F"/>
    <w:rsid w:val="00B709FC"/>
    <w:rsid w:val="00B956A9"/>
    <w:rsid w:val="00BA0CA6"/>
    <w:rsid w:val="00BE5F67"/>
    <w:rsid w:val="00C17E2B"/>
    <w:rsid w:val="00C61B60"/>
    <w:rsid w:val="00CA43F9"/>
    <w:rsid w:val="00CC2FEE"/>
    <w:rsid w:val="00CD5FF5"/>
    <w:rsid w:val="00CE51C9"/>
    <w:rsid w:val="00CF4E24"/>
    <w:rsid w:val="00D972DB"/>
    <w:rsid w:val="00DA2134"/>
    <w:rsid w:val="00DC3F28"/>
    <w:rsid w:val="00E07FC7"/>
    <w:rsid w:val="00E80FCF"/>
    <w:rsid w:val="00E86F1A"/>
    <w:rsid w:val="00EC24AD"/>
    <w:rsid w:val="00F12A3B"/>
    <w:rsid w:val="00F12DCA"/>
    <w:rsid w:val="00F347CF"/>
    <w:rsid w:val="00F93752"/>
    <w:rsid w:val="00FB13D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E7C0250E-E163-4804-A9B6-38B1C7AE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752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57CE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57CE6"/>
    <w:rPr>
      <w:rFonts w:ascii="Calibri" w:eastAsia="Calibri" w:hAnsi="Calibri" w:cs="Times New Roman"/>
    </w:rPr>
  </w:style>
  <w:style w:type="paragraph" w:styleId="Recuodecorpodetexto">
    <w:name w:val="Body Text Indent"/>
    <w:basedOn w:val="Normal"/>
    <w:link w:val="RecuodecorpodetextoChar"/>
    <w:rsid w:val="00657CE6"/>
    <w:pPr>
      <w:spacing w:after="0" w:line="360" w:lineRule="auto"/>
      <w:ind w:left="2268"/>
      <w:jc w:val="both"/>
    </w:pPr>
    <w:rPr>
      <w:rFonts w:ascii="Times New Roman" w:eastAsia="Times New Roman" w:hAnsi="Times New Roman"/>
      <w:b/>
      <w:iCs/>
      <w:sz w:val="20"/>
      <w:szCs w:val="20"/>
      <w:lang w:eastAsia="pt-BR"/>
    </w:rPr>
  </w:style>
  <w:style w:type="character" w:customStyle="1" w:styleId="RecuodecorpodetextoChar">
    <w:name w:val="Recuo de corpo de texto Char"/>
    <w:link w:val="Recuodecorpodetexto"/>
    <w:rsid w:val="00657CE6"/>
    <w:rPr>
      <w:rFonts w:ascii="Times New Roman" w:eastAsia="Times New Roman" w:hAnsi="Times New Roman" w:cs="Times New Roman"/>
      <w:b/>
      <w:i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57CE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57C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link w:val="Rodap"/>
    <w:uiPriority w:val="99"/>
    <w:rsid w:val="00657CE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70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65A500D9E75A4187596C335A730F04" ma:contentTypeVersion="6" ma:contentTypeDescription="Crie um novo documento." ma:contentTypeScope="" ma:versionID="24e3c85ac68404ddce5361c0cd4720ee">
  <xsd:schema xmlns:xsd="http://www.w3.org/2001/XMLSchema" xmlns:xs="http://www.w3.org/2001/XMLSchema" xmlns:p="http://schemas.microsoft.com/office/2006/metadata/properties" xmlns:ns2="02e99757-a194-41f7-92b9-bb32d67ecd21" xmlns:ns3="45ff75f7-77ec-4369-9126-ece81740ce50" targetNamespace="http://schemas.microsoft.com/office/2006/metadata/properties" ma:root="true" ma:fieldsID="39b09e5fc27711b76ccec586c4bf132e" ns2:_="" ns3:_="">
    <xsd:import namespace="02e99757-a194-41f7-92b9-bb32d67ecd21"/>
    <xsd:import namespace="45ff75f7-77ec-4369-9126-ece81740ce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99757-a194-41f7-92b9-bb32d67ecd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ff75f7-77ec-4369-9126-ece81740ce5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ED77A0-1FFC-4515-A33E-77FE819B9F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e99757-a194-41f7-92b9-bb32d67ecd21"/>
    <ds:schemaRef ds:uri="45ff75f7-77ec-4369-9126-ece81740ce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0BC4B9-57A1-419D-9239-0E5425EECB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9372A9-8159-4411-9395-915C4CE631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2159</Characters>
  <Application>Microsoft Office Word</Application>
  <DocSecurity>4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LIN HUI WANG</dc:creator>
  <cp:keywords/>
  <cp:lastModifiedBy>DENISE OLIVEIRA DOS SANTOS</cp:lastModifiedBy>
  <cp:revision>2</cp:revision>
  <dcterms:created xsi:type="dcterms:W3CDTF">2025-06-11T23:23:00Z</dcterms:created>
  <dcterms:modified xsi:type="dcterms:W3CDTF">2025-06-11T23:23:00Z</dcterms:modified>
</cp:coreProperties>
</file>