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235D4" w:rsidRPr="005235D4" w:rsidRDefault="00657CE6" w:rsidP="005235D4">
      <w:pPr>
        <w:spacing w:after="0" w:line="360" w:lineRule="auto"/>
        <w:jc w:val="both"/>
        <w:rPr>
          <w:rFonts w:ascii="Arial" w:hAnsi="Arial" w:cs="Arial"/>
          <w:b/>
          <w:sz w:val="24"/>
        </w:rPr>
      </w:pPr>
      <w:r>
        <w:t>EMBARGOS DE DECLARAÇÃO Nº 0000000-00.0000.0.00.0000/50000</w:t>
        <w:br/>
        <w:t>COMARCA DE SÃO PAULO 3ª VARA CÍVEL DO FORO REGIONAL V</w:t>
      </w:r>
    </w:p>
    <w:p w:rsidR="00657CE6" w:rsidRPr="00256172" w:rsidRDefault="005235D4" w:rsidP="005235D4">
      <w:pPr>
        <w:spacing w:after="0" w:line="360" w:lineRule="auto"/>
        <w:jc w:val="both"/>
        <w:rPr>
          <w:rFonts w:ascii="Arial" w:hAnsi="Arial" w:cs="Arial"/>
          <w:b/>
          <w:sz w:val="24"/>
        </w:rPr>
      </w:pPr>
      <w:r>
        <w:t>SÃO MIGUEL PAULISTA</w:t>
        <w:br/>
        <w:t>Embargante: AUTOR(A) da AUTOR(A) e outro</w:t>
      </w:r>
    </w:p>
    <w:p w:rsidR="00BE5F67" w:rsidRPr="005235D4" w:rsidRDefault="0009273D" w:rsidP="00657CE6">
      <w:pPr>
        <w:spacing w:after="0" w:line="360" w:lineRule="auto"/>
        <w:jc w:val="both"/>
        <w:rPr>
          <w:rFonts w:ascii="Arial" w:hAnsi="Arial" w:cs="Arial"/>
          <w:b/>
          <w:sz w:val="24"/>
        </w:rPr>
      </w:pPr>
      <w:r>
        <w:t>Embargada: Sebastião AUTOR(A)</w:t>
        <w:br/>
      </w:r>
    </w:p>
    <w:p w:rsidR="00657CE6" w:rsidRPr="00026932" w:rsidRDefault="00657CE6" w:rsidP="00657CE6">
      <w:pPr>
        <w:spacing w:after="0" w:line="360" w:lineRule="auto"/>
        <w:jc w:val="both"/>
        <w:rPr>
          <w:rFonts w:ascii="Arial" w:hAnsi="Arial"/>
          <w:b/>
          <w:sz w:val="24"/>
          <w:szCs w:val="24"/>
        </w:rPr>
      </w:pPr>
      <w:r>
        <w:t>VOTO nº 11.204</w:t>
      </w:r>
    </w:p>
    <w:p w:rsidR="00657CE6" w:rsidRPr="00026932" w:rsidRDefault="00657CE6" w:rsidP="00657CE6">
      <w:pPr>
        <w:pStyle w:val="Recuodecorpodetexto"/>
        <w:ind w:left="0"/>
        <w:rPr>
          <w:rFonts w:ascii="Arial" w:hAnsi="Arial" w:cs="Arial"/>
          <w:sz w:val="24"/>
          <w:szCs w:val="24"/>
        </w:rPr>
      </w:pPr>
      <w:r/>
    </w:p>
    <w:p w:rsidR="00657CE6" w:rsidRPr="00026932" w:rsidRDefault="00657CE6" w:rsidP="00657CE6">
      <w:pPr>
        <w:pStyle w:val="Recuodecorpodetexto"/>
        <w:rPr>
          <w:rFonts w:ascii="Arial" w:hAnsi="Arial" w:cs="Arial"/>
          <w:sz w:val="24"/>
          <w:szCs w:val="24"/>
        </w:rPr>
      </w:pPr>
      <w:r/>
    </w:p>
    <w:p w:rsidR="003C43A2" w:rsidRPr="00CA43F9" w:rsidRDefault="00E16774" w:rsidP="003C43A2">
      <w:pPr>
        <w:pStyle w:val="Recuodecorpodetexto"/>
        <w:rPr>
          <w:rFonts w:ascii="Arial" w:hAnsi="Arial" w:cs="Arial"/>
          <w:sz w:val="22"/>
          <w:szCs w:val="22"/>
        </w:rPr>
      </w:pPr>
      <w:r>
        <w:t>EMBARGOS DE DECLARAÇÃO – Omissão – Gratuidade da justiça deferida apenas em grau recursal – Acórdão que não esclareceu, de forma expressa, a limitação dos efeitos da gratuidade ao preparo recursal – Embargante busca esclarecimento quanto à responsabilidade pelos honorários sucumbenciais fixados na origem – Omissão configurada – Embargos acolhidos somente para esclarecimento quanto aos limites da gratuidade em sede recursal, sem alteração do resultado do julgamento.</w:t>
      </w:r>
    </w:p>
    <w:p w:rsidR="003C43A2" w:rsidRPr="00E86F1A" w:rsidRDefault="003C43A2" w:rsidP="003C43A2">
      <w:pPr>
        <w:spacing w:after="0" w:line="360" w:lineRule="auto"/>
        <w:ind w:left="2268"/>
        <w:jc w:val="both"/>
        <w:rPr>
          <w:b/>
          <w:i/>
          <w:sz w:val="24"/>
          <w:szCs w:val="24"/>
        </w:rPr>
      </w:pPr>
      <w:r>
        <w:tab/>
      </w:r>
    </w:p>
    <w:p w:rsidR="003C43A2" w:rsidRPr="00F93752" w:rsidRDefault="003C43A2" w:rsidP="003C43A2">
      <w:pPr>
        <w:spacing w:after="0" w:line="360" w:lineRule="auto"/>
        <w:ind w:firstLine="1418"/>
        <w:jc w:val="both"/>
        <w:rPr>
          <w:rFonts w:ascii="Arial" w:hAnsi="Arial" w:cs="Arial"/>
          <w:b/>
          <w:bCs/>
          <w:sz w:val="24"/>
          <w:szCs w:val="24"/>
        </w:rPr>
      </w:pPr>
      <w:r>
        <w:t>Vistos.</w:t>
      </w:r>
    </w:p>
    <w:p w:rsidR="003C43A2" w:rsidRDefault="003C43A2" w:rsidP="003C43A2">
      <w:pPr>
        <w:spacing w:after="0" w:line="360" w:lineRule="auto"/>
        <w:ind w:firstLine="1418"/>
        <w:jc w:val="both"/>
        <w:rPr>
          <w:rFonts w:ascii="Arial" w:hAnsi="Arial" w:cs="Arial"/>
          <w:sz w:val="24"/>
          <w:szCs w:val="24"/>
        </w:rPr>
      </w:pPr>
      <w:r/>
    </w:p>
    <w:p w:rsidR="008929D7" w:rsidRPr="008929D7" w:rsidRDefault="008929D7" w:rsidP="008929D7">
      <w:pPr>
        <w:spacing w:after="0" w:line="360" w:lineRule="auto"/>
        <w:ind w:firstLine="1418"/>
        <w:jc w:val="both"/>
        <w:rPr>
          <w:rFonts w:ascii="Arial" w:hAnsi="Arial" w:cs="Arial"/>
          <w:sz w:val="24"/>
          <w:szCs w:val="24"/>
        </w:rPr>
      </w:pPr>
      <w:r>
        <w:t>Trata-se de embargos de declaração opostos por Vânia AUTOR(A) da AUTOR(A), alegando que o v. acórdão foi contraditório quanto à concessão da gratuidade da justiça, especificamente no que se refere à abrangência do benefício em relação à verba honorária sucumbencial.</w:t>
      </w:r>
    </w:p>
    <w:p w:rsidR="008929D7" w:rsidRPr="008929D7" w:rsidRDefault="008929D7" w:rsidP="008929D7">
      <w:pPr>
        <w:spacing w:after="0" w:line="360" w:lineRule="auto"/>
        <w:ind w:firstLine="1418"/>
        <w:jc w:val="both"/>
        <w:rPr>
          <w:rFonts w:ascii="Arial" w:hAnsi="Arial" w:cs="Arial"/>
          <w:sz w:val="24"/>
          <w:szCs w:val="24"/>
        </w:rPr>
      </w:pPr>
      <w:r>
        <w:t>A embargante sustenta que, embora o acórdão tenha determinado a observância da gratuidade concedida, não ficou claro se a isenção alcança também os honorários advocatícios arbitrados, o que poderia gerar dúvidas futuras quanto à sua exigibilidade.</w:t>
      </w:r>
    </w:p>
    <w:p w:rsidR="003C43A2" w:rsidRPr="00026932" w:rsidRDefault="003C43A2" w:rsidP="003C43A2">
      <w:pPr>
        <w:spacing w:after="0" w:line="360" w:lineRule="auto"/>
        <w:ind w:firstLine="1418"/>
        <w:jc w:val="both"/>
        <w:rPr>
          <w:rFonts w:ascii="Arial" w:hAnsi="Arial"/>
          <w:sz w:val="24"/>
          <w:szCs w:val="24"/>
        </w:rPr>
      </w:pPr>
      <w:r/>
    </w:p>
    <w:p w:rsidR="003C43A2" w:rsidRPr="00026932" w:rsidRDefault="003C43A2" w:rsidP="003C43A2">
      <w:pPr>
        <w:spacing w:after="0" w:line="360" w:lineRule="auto"/>
        <w:ind w:firstLine="1418"/>
        <w:jc w:val="both"/>
        <w:rPr>
          <w:rFonts w:ascii="Arial" w:hAnsi="Arial"/>
          <w:b/>
          <w:sz w:val="24"/>
          <w:szCs w:val="24"/>
        </w:rPr>
      </w:pPr>
      <w:r>
        <w:t>É o relatório.</w:t>
      </w:r>
    </w:p>
    <w:p w:rsidR="003C43A2" w:rsidRPr="00026932" w:rsidRDefault="003C43A2" w:rsidP="003C43A2">
      <w:pPr>
        <w:spacing w:after="0" w:line="360" w:lineRule="auto"/>
        <w:ind w:firstLine="1418"/>
        <w:jc w:val="both"/>
        <w:rPr>
          <w:rFonts w:ascii="Arial" w:hAnsi="Arial"/>
          <w:b/>
          <w:sz w:val="24"/>
          <w:szCs w:val="24"/>
        </w:rPr>
      </w:pPr>
      <w:r/>
    </w:p>
    <w:p w:rsidR="00E16774" w:rsidRPr="00E16774" w:rsidRDefault="00E16774" w:rsidP="004602BE">
      <w:pPr>
        <w:spacing w:after="0" w:line="360" w:lineRule="auto"/>
        <w:ind w:firstLine="1418"/>
        <w:jc w:val="both"/>
        <w:rPr>
          <w:rFonts w:ascii="Arial" w:hAnsi="Arial"/>
          <w:sz w:val="24"/>
          <w:szCs w:val="24"/>
        </w:rPr>
      </w:pPr>
      <w:r>
        <w:t>Com efeito, observa-se que o despacho de folhas 259/260 concedeu à embargante a gratuidade da justiça apenas em grau recursal, emprestando ao benefício efeitos ex nunc, de modo que a isenção se restringe às despesas do recurso, notadamente o preparo, como expressamente consignado na ocasião: “Em outras palavras, observo que a benesse se estende apenas ao recolhimento do preparo recursal deste recurso, permitindo, com isso, o exercício do duplo grau de jurisdição.” (fls. 260).</w:t>
      </w:r>
    </w:p>
    <w:p w:rsidR="00E16774" w:rsidRPr="00E16774" w:rsidRDefault="00E16774" w:rsidP="00E16774">
      <w:pPr>
        <w:spacing w:after="0" w:line="360" w:lineRule="auto"/>
        <w:ind w:firstLine="1418"/>
        <w:jc w:val="both"/>
        <w:rPr>
          <w:rFonts w:ascii="Arial" w:hAnsi="Arial"/>
          <w:sz w:val="24"/>
          <w:szCs w:val="24"/>
        </w:rPr>
      </w:pPr>
      <w:r>
        <w:t>O v. acórdão recorrido, ao mencionar a gratuidade, limitou-se a consignar que o recurso estava isento do preparo, não abordando expressamente a extensão da gratuidade em relação às verbas sucumbenciais arbitradas na origem, o que configura omissão a ser suprida nos termos do artigo 1.022, inciso II, do Código de AUTOR(A)​.</w:t>
      </w:r>
    </w:p>
    <w:p w:rsidR="00E16774" w:rsidRPr="00E16774" w:rsidRDefault="00E16774" w:rsidP="00E16774">
      <w:pPr>
        <w:spacing w:after="0" w:line="360" w:lineRule="auto"/>
        <w:ind w:firstLine="1418"/>
        <w:jc w:val="both"/>
        <w:rPr>
          <w:rFonts w:ascii="Arial" w:hAnsi="Arial"/>
          <w:sz w:val="24"/>
          <w:szCs w:val="24"/>
        </w:rPr>
      </w:pPr>
      <w:r>
        <w:t>Diante disso, acolhem-se os embargos de declaração para esclarecer que a gratuidade da justiça concedida à embargante abrange exclusivamente a isenção do preparo recursal, não alcançando, portanto, os honorários advocatícios sucumbenciais fixados no primeiro grau de jurisdição. Assim, quanto a estes honorários, subsiste a responsabilidade da parte, observadas as regras aplicáveis à execução.</w:t>
      </w:r>
    </w:p>
    <w:p w:rsidR="00E16774" w:rsidRDefault="00E16774" w:rsidP="00E16774">
      <w:pPr>
        <w:spacing w:after="0" w:line="360" w:lineRule="auto"/>
        <w:ind w:firstLine="1418"/>
        <w:jc w:val="both"/>
        <w:rPr>
          <w:rFonts w:ascii="Arial" w:hAnsi="Arial"/>
          <w:sz w:val="24"/>
          <w:szCs w:val="24"/>
        </w:rPr>
      </w:pPr>
      <w:r>
        <w:t>No mais, permanece inalterado o conteúdo do v. acórdão embargado.</w:t>
      </w:r>
    </w:p>
    <w:p w:rsidR="00E16774" w:rsidRPr="00026932" w:rsidRDefault="00E16774" w:rsidP="00E16774">
      <w:pPr>
        <w:spacing w:after="0" w:line="360" w:lineRule="auto"/>
        <w:ind w:firstLine="1418"/>
        <w:jc w:val="both"/>
        <w:rPr>
          <w:rFonts w:ascii="Arial" w:hAnsi="Arial"/>
          <w:sz w:val="24"/>
          <w:szCs w:val="24"/>
        </w:rPr>
      </w:pPr>
      <w:r>
        <w:t xml:space="preserve">Reforço, por fim, que não se vislumbra no v. acórdão ofensas a dispositivos legais, para fins de prequestionamento. </w:t>
      </w:r>
    </w:p>
    <w:p w:rsidR="003C43A2" w:rsidRPr="00026932" w:rsidRDefault="003C43A2" w:rsidP="003C43A2">
      <w:pPr>
        <w:spacing w:after="0" w:line="360" w:lineRule="auto"/>
        <w:ind w:firstLine="1418"/>
        <w:jc w:val="both"/>
        <w:rPr>
          <w:rFonts w:ascii="Arial" w:hAnsi="Arial" w:cs="Arial"/>
          <w:iCs/>
          <w:sz w:val="24"/>
          <w:szCs w:val="24"/>
        </w:rPr>
      </w:pPr>
      <w:r/>
    </w:p>
    <w:p w:rsidR="003C43A2" w:rsidRPr="00026932" w:rsidRDefault="003C43A2" w:rsidP="003C43A2">
      <w:pPr>
        <w:spacing w:after="0" w:line="360" w:lineRule="auto"/>
        <w:ind w:firstLine="1418"/>
        <w:jc w:val="both"/>
        <w:rPr>
          <w:rFonts w:ascii="Arial" w:hAnsi="Arial" w:cs="Arial"/>
          <w:iCs/>
          <w:sz w:val="24"/>
          <w:szCs w:val="24"/>
        </w:rPr>
      </w:pPr>
      <w:r>
        <w:t>Nestes termos, pelo meu voto, acolho os embargos de declaração, para fins de esclarecimento, sem alteração do resultado do julgamento.</w:t>
      </w:r>
    </w:p>
    <w:p w:rsidR="003C43A2" w:rsidRPr="000665B8" w:rsidRDefault="003C43A2" w:rsidP="003C43A2">
      <w:pPr>
        <w:spacing w:after="0" w:line="360" w:lineRule="auto"/>
        <w:jc w:val="both"/>
        <w:rPr>
          <w:rFonts w:ascii="Arial" w:hAnsi="Arial" w:cs="Arial"/>
          <w:iCs/>
          <w:sz w:val="24"/>
        </w:rPr>
      </w:pPr>
      <w:r/>
    </w:p>
    <w:p w:rsidR="003C43A2" w:rsidRPr="000665B8" w:rsidRDefault="003C43A2" w:rsidP="003C43A2">
      <w:pPr>
        <w:spacing w:after="0" w:line="360" w:lineRule="auto"/>
        <w:jc w:val="center"/>
        <w:rPr>
          <w:rFonts w:ascii="Arial" w:hAnsi="Arial"/>
          <w:b/>
          <w:sz w:val="24"/>
        </w:rPr>
      </w:pPr>
      <w:r>
        <w:tab/>
        <w:t>JOSÉ AUGUSTO GENOFRE MARTINS</w:t>
      </w:r>
    </w:p>
    <w:p w:rsidR="003C43A2" w:rsidRDefault="003C43A2" w:rsidP="003C43A2">
      <w:pPr>
        <w:spacing w:after="0" w:line="360" w:lineRule="auto"/>
        <w:jc w:val="center"/>
      </w:pPr>
      <w:r>
        <w:t xml:space="preserve">        Relator</w:t>
      </w:r>
    </w:p>
    <w:p w:rsidR="00CE51C9" w:rsidRDefault="00CE51C9" w:rsidP="003C43A2">
      <w:pPr>
        <w:pStyle w:val="Recuodecorpodetexto"/>
      </w:pPr>
      <w:r/>
    </w:p>
    <w:sectPr w:rsidR="00CE51C9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0F588E" w:rsidRDefault="000F588E" w:rsidP="00657CE6">
      <w:pPr>
        <w:spacing w:after="0" w:line="240" w:lineRule="auto"/>
      </w:pPr>
      <w:r>
        <w:separator/>
      </w:r>
    </w:p>
  </w:endnote>
  <w:endnote w:type="continuationSeparator" w:id="0">
    <w:p w:rsidR="000F588E" w:rsidRDefault="000F588E" w:rsidP="00657C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0F588E" w:rsidRDefault="000F588E" w:rsidP="00657CE6">
      <w:pPr>
        <w:spacing w:after="0" w:line="240" w:lineRule="auto"/>
      </w:pPr>
      <w:r>
        <w:separator/>
      </w:r>
    </w:p>
  </w:footnote>
  <w:footnote w:type="continuationSeparator" w:id="0">
    <w:p w:rsidR="000F588E" w:rsidRDefault="000F588E" w:rsidP="00657C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F347CF" w:rsidRPr="000665B8" w:rsidRDefault="00F347CF" w:rsidP="00F347CF">
    <w:pPr>
      <w:pStyle w:val="Cabealho"/>
      <w:spacing w:after="120" w:line="240" w:lineRule="auto"/>
      <w:rPr>
        <w:rFonts w:ascii="Times New Roman" w:hAnsi="Times New Roman"/>
      </w:rPr>
    </w:pPr>
  </w:p>
  <w:tbl>
    <w:tblPr>
      <w:tblW w:w="8360" w:type="dxa"/>
      <w:tblInd w:w="83" w:type="dxa"/>
      <w:tblLayout w:type="fixed"/>
      <w:tblLook w:val="0000" w:firstRow="0" w:lastRow="0" w:firstColumn="0" w:lastColumn="0" w:noHBand="0" w:noVBand="0"/>
    </w:tblPr>
    <w:tblGrid>
      <w:gridCol w:w="2490"/>
      <w:gridCol w:w="5870"/>
    </w:tblGrid>
    <w:tr w:rsidR="00F347CF" w:rsidRPr="000665B8" w:rsidTr="00F347CF">
      <w:trPr>
        <w:trHeight w:val="559"/>
      </w:trPr>
      <w:tc>
        <w:tcPr>
          <w:tcW w:w="2490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F347CF" w:rsidRPr="000665B8" w:rsidRDefault="00F347CF" w:rsidP="00F347CF">
          <w:pPr>
            <w:autoSpaceDE w:val="0"/>
            <w:autoSpaceDN w:val="0"/>
            <w:adjustRightInd w:val="0"/>
            <w:spacing w:after="120" w:line="240" w:lineRule="auto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 xml:space="preserve">       </w:t>
          </w:r>
          <w:r w:rsidRPr="000665B8">
            <w:rPr>
              <w:rFonts w:ascii="Times New Roman" w:hAnsi="Times New Roman"/>
            </w:rPr>
            <w:t xml:space="preserve"> </w:t>
          </w:r>
          <w:r w:rsidR="00DC3F28" w:rsidRPr="00DC3F28">
            <w:rPr>
              <w:rFonts w:ascii="Times New Roman" w:hAnsi="Times New Roman"/>
              <w:noProof/>
              <w:lang w:eastAsia="pt-BR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m 1" o:spid="_x0000_i1025" type="#_x0000_t75" style="width:90.75pt;height:59.25pt;visibility:visible">
                <v:imagedata r:id="rId1" o:title=""/>
              </v:shape>
            </w:pict>
          </w:r>
        </w:p>
      </w:tc>
      <w:tc>
        <w:tcPr>
          <w:tcW w:w="5870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F347CF" w:rsidRPr="000665B8" w:rsidRDefault="00F347CF" w:rsidP="00F347CF">
          <w:pPr>
            <w:autoSpaceDE w:val="0"/>
            <w:autoSpaceDN w:val="0"/>
            <w:adjustRightInd w:val="0"/>
            <w:spacing w:after="120" w:line="240" w:lineRule="auto"/>
            <w:rPr>
              <w:rFonts w:ascii="Times New Roman" w:hAnsi="Times New Roman"/>
              <w:b/>
              <w:bCs/>
            </w:rPr>
          </w:pPr>
        </w:p>
        <w:p w:rsidR="00F347CF" w:rsidRPr="000665B8" w:rsidRDefault="00F347CF" w:rsidP="00F347CF">
          <w:pPr>
            <w:autoSpaceDE w:val="0"/>
            <w:autoSpaceDN w:val="0"/>
            <w:adjustRightInd w:val="0"/>
            <w:spacing w:after="120" w:line="240" w:lineRule="auto"/>
            <w:jc w:val="center"/>
            <w:rPr>
              <w:rFonts w:ascii="Times New Roman" w:hAnsi="Times New Roman"/>
              <w:b/>
              <w:bCs/>
            </w:rPr>
          </w:pPr>
          <w:r w:rsidRPr="000665B8">
            <w:rPr>
              <w:rFonts w:ascii="Times New Roman" w:hAnsi="Times New Roman"/>
              <w:b/>
              <w:bCs/>
            </w:rPr>
            <w:t>PODER JUDICIÁRIO</w:t>
          </w:r>
        </w:p>
        <w:p w:rsidR="00F347CF" w:rsidRPr="000665B8" w:rsidRDefault="00F347CF" w:rsidP="00F347CF">
          <w:pPr>
            <w:tabs>
              <w:tab w:val="left" w:pos="1905"/>
            </w:tabs>
            <w:autoSpaceDE w:val="0"/>
            <w:autoSpaceDN w:val="0"/>
            <w:adjustRightInd w:val="0"/>
            <w:spacing w:after="120" w:line="240" w:lineRule="auto"/>
            <w:jc w:val="center"/>
            <w:rPr>
              <w:rFonts w:ascii="Times New Roman" w:hAnsi="Times New Roman"/>
              <w:b/>
              <w:bCs/>
            </w:rPr>
          </w:pPr>
          <w:r w:rsidRPr="000665B8">
            <w:rPr>
              <w:rFonts w:ascii="Times New Roman" w:hAnsi="Times New Roman"/>
              <w:b/>
              <w:bCs/>
            </w:rPr>
            <w:t>TRIBUNAL DE JUSTIÇA DO ESTADO DE SÃO PAULO</w:t>
          </w:r>
        </w:p>
        <w:p w:rsidR="00F347CF" w:rsidRPr="000665B8" w:rsidRDefault="00F347CF" w:rsidP="00F347CF">
          <w:pPr>
            <w:autoSpaceDE w:val="0"/>
            <w:autoSpaceDN w:val="0"/>
            <w:adjustRightInd w:val="0"/>
            <w:spacing w:after="120" w:line="240" w:lineRule="auto"/>
            <w:jc w:val="center"/>
            <w:rPr>
              <w:rFonts w:ascii="Times New Roman" w:hAnsi="Times New Roman"/>
              <w:b/>
            </w:rPr>
          </w:pPr>
          <w:r w:rsidRPr="000665B8">
            <w:rPr>
              <w:rFonts w:ascii="Times New Roman" w:hAnsi="Times New Roman"/>
              <w:b/>
            </w:rPr>
            <w:t xml:space="preserve">Seção de Direito Privado - </w:t>
          </w:r>
          <w:r w:rsidR="009A1419">
            <w:rPr>
              <w:rFonts w:ascii="Times New Roman" w:hAnsi="Times New Roman"/>
              <w:b/>
            </w:rPr>
            <w:t>29</w:t>
          </w:r>
          <w:r w:rsidRPr="000665B8">
            <w:rPr>
              <w:rFonts w:ascii="Times New Roman" w:hAnsi="Times New Roman"/>
              <w:b/>
            </w:rPr>
            <w:t>ª Câmara</w:t>
          </w:r>
        </w:p>
      </w:tc>
    </w:tr>
  </w:tbl>
  <w:p w:rsidR="00F347CF" w:rsidRPr="000665B8" w:rsidRDefault="00F347CF" w:rsidP="00F347CF">
    <w:pPr>
      <w:pStyle w:val="Cabealho"/>
      <w:spacing w:after="120" w:line="240" w:lineRule="auto"/>
      <w:rPr>
        <w:rFonts w:ascii="Times New Roman" w:hAnsi="Times New Roman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57CE6"/>
    <w:rsid w:val="00001E53"/>
    <w:rsid w:val="0000549D"/>
    <w:rsid w:val="00026932"/>
    <w:rsid w:val="00045525"/>
    <w:rsid w:val="00050B62"/>
    <w:rsid w:val="0009273D"/>
    <w:rsid w:val="00094490"/>
    <w:rsid w:val="000A45B1"/>
    <w:rsid w:val="000E53EC"/>
    <w:rsid w:val="000F588E"/>
    <w:rsid w:val="001E2EE5"/>
    <w:rsid w:val="001E5948"/>
    <w:rsid w:val="001F2F54"/>
    <w:rsid w:val="0024500F"/>
    <w:rsid w:val="00251320"/>
    <w:rsid w:val="00256172"/>
    <w:rsid w:val="002600F3"/>
    <w:rsid w:val="003C43A2"/>
    <w:rsid w:val="003F4037"/>
    <w:rsid w:val="004602BE"/>
    <w:rsid w:val="00463C3A"/>
    <w:rsid w:val="00495E99"/>
    <w:rsid w:val="004E4B0C"/>
    <w:rsid w:val="005130A5"/>
    <w:rsid w:val="005235D4"/>
    <w:rsid w:val="005B15AC"/>
    <w:rsid w:val="005D0ED6"/>
    <w:rsid w:val="00653218"/>
    <w:rsid w:val="00656946"/>
    <w:rsid w:val="00657CE6"/>
    <w:rsid w:val="0069563B"/>
    <w:rsid w:val="006D046F"/>
    <w:rsid w:val="00704ED2"/>
    <w:rsid w:val="00713BCB"/>
    <w:rsid w:val="0071641B"/>
    <w:rsid w:val="00744F22"/>
    <w:rsid w:val="007674DE"/>
    <w:rsid w:val="007E433F"/>
    <w:rsid w:val="008073C2"/>
    <w:rsid w:val="0083077B"/>
    <w:rsid w:val="008929D7"/>
    <w:rsid w:val="00917847"/>
    <w:rsid w:val="00934737"/>
    <w:rsid w:val="00956A6C"/>
    <w:rsid w:val="009A1419"/>
    <w:rsid w:val="009E516F"/>
    <w:rsid w:val="009F773E"/>
    <w:rsid w:val="00A35568"/>
    <w:rsid w:val="00A6075A"/>
    <w:rsid w:val="00A61553"/>
    <w:rsid w:val="00A851DE"/>
    <w:rsid w:val="00B161F1"/>
    <w:rsid w:val="00B45C3F"/>
    <w:rsid w:val="00B709FC"/>
    <w:rsid w:val="00B927E0"/>
    <w:rsid w:val="00B956A9"/>
    <w:rsid w:val="00BA0CA6"/>
    <w:rsid w:val="00BE5F67"/>
    <w:rsid w:val="00C17E2B"/>
    <w:rsid w:val="00C61B60"/>
    <w:rsid w:val="00CA43F9"/>
    <w:rsid w:val="00CC2FEE"/>
    <w:rsid w:val="00CD01B7"/>
    <w:rsid w:val="00CD5FF5"/>
    <w:rsid w:val="00CE51C9"/>
    <w:rsid w:val="00CF4E24"/>
    <w:rsid w:val="00DA2134"/>
    <w:rsid w:val="00DC3F28"/>
    <w:rsid w:val="00DC7E28"/>
    <w:rsid w:val="00DD4E1E"/>
    <w:rsid w:val="00E02BC0"/>
    <w:rsid w:val="00E07FC7"/>
    <w:rsid w:val="00E16774"/>
    <w:rsid w:val="00E80FCF"/>
    <w:rsid w:val="00E967FE"/>
    <w:rsid w:val="00EB3D91"/>
    <w:rsid w:val="00EC24AD"/>
    <w:rsid w:val="00F12A3B"/>
    <w:rsid w:val="00F347CF"/>
    <w:rsid w:val="00F663F7"/>
    <w:rsid w:val="00F839C5"/>
    <w:rsid w:val="00F93752"/>
    <w:rsid w:val="00FB13D0"/>
    <w:rsid w:val="00FE5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7E0E31B1-BECB-4054-AFB2-4654DB2BF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3752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57CE6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rsid w:val="00657CE6"/>
    <w:rPr>
      <w:rFonts w:ascii="Calibri" w:eastAsia="Calibri" w:hAnsi="Calibri" w:cs="Times New Roman"/>
    </w:rPr>
  </w:style>
  <w:style w:type="paragraph" w:styleId="Recuodecorpodetexto">
    <w:name w:val="Body Text Indent"/>
    <w:basedOn w:val="Normal"/>
    <w:link w:val="RecuodecorpodetextoChar"/>
    <w:rsid w:val="00657CE6"/>
    <w:pPr>
      <w:spacing w:after="0" w:line="360" w:lineRule="auto"/>
      <w:ind w:left="2268"/>
      <w:jc w:val="both"/>
    </w:pPr>
    <w:rPr>
      <w:rFonts w:ascii="Times New Roman" w:eastAsia="Times New Roman" w:hAnsi="Times New Roman"/>
      <w:b/>
      <w:iCs/>
      <w:sz w:val="20"/>
      <w:szCs w:val="20"/>
      <w:lang w:eastAsia="pt-BR"/>
    </w:rPr>
  </w:style>
  <w:style w:type="character" w:customStyle="1" w:styleId="RecuodecorpodetextoChar">
    <w:name w:val="Recuo de corpo de texto Char"/>
    <w:link w:val="Recuodecorpodetexto"/>
    <w:rsid w:val="00657CE6"/>
    <w:rPr>
      <w:rFonts w:ascii="Times New Roman" w:eastAsia="Times New Roman" w:hAnsi="Times New Roman" w:cs="Times New Roman"/>
      <w:b/>
      <w:iCs/>
      <w:sz w:val="20"/>
      <w:szCs w:val="20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657CE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657CE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link w:val="Rodap"/>
    <w:uiPriority w:val="99"/>
    <w:rsid w:val="00657CE6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369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5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66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4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4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265A500D9E75A4187596C335A730F04" ma:contentTypeVersion="6" ma:contentTypeDescription="Crie um novo documento." ma:contentTypeScope="" ma:versionID="24e3c85ac68404ddce5361c0cd4720ee">
  <xsd:schema xmlns:xsd="http://www.w3.org/2001/XMLSchema" xmlns:xs="http://www.w3.org/2001/XMLSchema" xmlns:p="http://schemas.microsoft.com/office/2006/metadata/properties" xmlns:ns2="02e99757-a194-41f7-92b9-bb32d67ecd21" xmlns:ns3="45ff75f7-77ec-4369-9126-ece81740ce50" targetNamespace="http://schemas.microsoft.com/office/2006/metadata/properties" ma:root="true" ma:fieldsID="39b09e5fc27711b76ccec586c4bf132e" ns2:_="" ns3:_="">
    <xsd:import namespace="02e99757-a194-41f7-92b9-bb32d67ecd21"/>
    <xsd:import namespace="45ff75f7-77ec-4369-9126-ece81740ce5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e99757-a194-41f7-92b9-bb32d67ecd2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ff75f7-77ec-4369-9126-ece81740ce5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3ED77A0-1FFC-4515-A33E-77FE819B9F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2e99757-a194-41f7-92b9-bb32d67ecd21"/>
    <ds:schemaRef ds:uri="45ff75f7-77ec-4369-9126-ece81740ce5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70BC4B9-57A1-419D-9239-0E5425EECBA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242F838-9860-4202-A50C-278DF6F0781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443</Words>
  <Characters>2397</Characters>
  <Application>Microsoft Office Word</Application>
  <DocSecurity>4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ELISA LIN HUI WANG</dc:creator>
  <cp:keywords/>
  <cp:lastModifiedBy>DENISE OLIVEIRA DOS SANTOS</cp:lastModifiedBy>
  <cp:revision>2</cp:revision>
  <dcterms:created xsi:type="dcterms:W3CDTF">2025-06-11T23:24:00Z</dcterms:created>
  <dcterms:modified xsi:type="dcterms:W3CDTF">2025-06-11T23:24:00Z</dcterms:modified>
</cp:coreProperties>
</file>