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SUZANO – 3ª VARA CÍVEL </w:t>
      </w:r>
    </w:p>
    <w:p w:rsidR="00D14C33" w:rsidRPr="006A6130" w:rsidRDefault="00D14C33" w:rsidP="00A460FD">
      <w:pPr>
        <w:spacing w:after="0" w:line="360" w:lineRule="auto"/>
        <w:jc w:val="both"/>
        <w:rPr>
          <w:rFonts w:ascii="Arial" w:hAnsi="Arial" w:cs="Arial"/>
          <w:b/>
          <w:bCs/>
          <w:sz w:val="24"/>
        </w:rPr>
      </w:pPr>
      <w:r>
        <w:t>APELANTES: AUTOR(A) Galvão / AUTOR(A) de Morais</w:t>
      </w:r>
    </w:p>
    <w:p w:rsidR="00D14C33" w:rsidRPr="00853E15" w:rsidRDefault="00D14C33" w:rsidP="00A460FD">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11.206</w:t>
      </w:r>
    </w:p>
    <w:p w:rsidR="00D14C33" w:rsidRDefault="00D14C33" w:rsidP="00D14C33">
      <w:pPr>
        <w:spacing w:after="0" w:line="360" w:lineRule="auto"/>
        <w:jc w:val="both"/>
        <w:rPr>
          <w:rFonts w:ascii="Arial" w:hAnsi="Arial" w:cs="Arial"/>
          <w:sz w:val="24"/>
        </w:rPr>
      </w:pPr>
      <w:r/>
    </w:p>
    <w:p w:rsidR="00C1447E" w:rsidRPr="00324889" w:rsidRDefault="00C1447E" w:rsidP="00D14C33">
      <w:pPr>
        <w:spacing w:after="0" w:line="360" w:lineRule="auto"/>
        <w:jc w:val="both"/>
        <w:rPr>
          <w:rFonts w:ascii="Arial" w:hAnsi="Arial" w:cs="Arial"/>
          <w:sz w:val="24"/>
        </w:rPr>
      </w:pPr>
      <w:r/>
    </w:p>
    <w:p w:rsidR="00D14C33" w:rsidRPr="00A55649" w:rsidRDefault="006F727A" w:rsidP="006F727A">
      <w:pPr>
        <w:pStyle w:val="Recuodecorpodetexto"/>
        <w:rPr>
          <w:rFonts w:ascii="Arial" w:hAnsi="Arial" w:cs="Arial"/>
          <w:sz w:val="22"/>
          <w:szCs w:val="22"/>
        </w:rPr>
      </w:pPr>
      <w:r>
        <w:t>APELAÇÃO – AÇÃO DE DESPEJO POR FALTA DE PAGAMENTO CUMULADA COM COBRANÇA – LOCAÇÃO FIRMADA PELO CORRÉU – DIVÓRCIO SUPERVENIENTE – SUB-ROGAÇÃO COMUNICADA NOS TERMOS DO ARTIGO 12, §1º, DA LEI Nº 8.245/91 – PERMANÊNCIA DA EX-ESPOSA NO IMÓVEL – CIÊNCIA DO LOCADOR. Insurgência dos requeridos contra sentença que julgou procedente o pedido de despejo e cobrança de aluguéis vencidos. Contrato firmado somente pelo corréu. Superveniência de divórcio e comunicação de sub-rogação nos termos do artigo 12, §1º, da Lei do Inquilinato. Permanência da corré no imóvel com ciência do locador e sem oposição. Diante das peculiaridades do caso concreto, cabível sua manutenção no polo passivo, com responsabilidade solidária. Acordo firmado entre os corréus no divórcio não é oponível ao locador. Reconhecimento de que o corréu manteve a posse indireta do imóvel. Inocorrência de cerceamento de defesa. Impugnação genérica dos valores cobrados. Sentença mantida por seus próprios fundamentos. Recursos improvidos.</w:t>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AD286C" w:rsidRDefault="00AD286C" w:rsidP="00D14C33">
      <w:pPr>
        <w:spacing w:line="360" w:lineRule="auto"/>
        <w:ind w:firstLine="1418"/>
        <w:jc w:val="both"/>
        <w:rPr>
          <w:rFonts w:ascii="Arial" w:hAnsi="Arial" w:cs="Arial"/>
          <w:sz w:val="24"/>
          <w:szCs w:val="24"/>
        </w:rPr>
      </w:pPr>
      <w:r>
        <w:t>Trata-se de ação de despejo por falta de pagamento cumulada com cobrança fundada em contrato de locação de imóvel, ajuizada por AUTOR(A) em face de AUTOR(A) Galvão e AUTOR(A) de Morais Galvão, julgada procedente pela r. sentença de fls. 125/128, cujo relatório se adota, para condenar a desocupação do imóvel e ao pagamento dos aluguéis vencidos e encargos contratuais devidos.</w:t>
      </w:r>
    </w:p>
    <w:p w:rsidR="00E67B40" w:rsidRPr="00E67B40" w:rsidRDefault="00E67B40" w:rsidP="00E67B40">
      <w:pPr>
        <w:autoSpaceDE w:val="0"/>
        <w:autoSpaceDN w:val="0"/>
        <w:adjustRightInd w:val="0"/>
        <w:spacing w:line="360" w:lineRule="auto"/>
        <w:ind w:firstLine="1418"/>
        <w:jc w:val="both"/>
        <w:rPr>
          <w:rFonts w:ascii="Arial" w:hAnsi="Arial" w:cs="Arial"/>
          <w:sz w:val="24"/>
        </w:rPr>
      </w:pPr>
      <w:r>
        <w:t>Inconformados, recorrem os requeridos Marcelo e Louize, interpondo apelação às fls. 139/150 e 163/183, buscando a reforma do julgado.</w:t>
      </w:r>
    </w:p>
    <w:p w:rsidR="00E67B40" w:rsidRPr="00E67B40" w:rsidRDefault="00E67B40" w:rsidP="00E67B40">
      <w:pPr>
        <w:autoSpaceDE w:val="0"/>
        <w:autoSpaceDN w:val="0"/>
        <w:adjustRightInd w:val="0"/>
        <w:spacing w:line="360" w:lineRule="auto"/>
        <w:ind w:firstLine="1418"/>
        <w:jc w:val="both"/>
        <w:rPr>
          <w:rFonts w:ascii="Arial" w:hAnsi="Arial" w:cs="Arial"/>
          <w:sz w:val="24"/>
        </w:rPr>
      </w:pPr>
      <w:r>
        <w:t>Marcelo sustenta que não poderia ser responsabilizado pelos aluguéis vencidos, pois teria comunicado ao locador a sub-rogação do contrato em favor de Louize, que permaneceu no imóvel após o divórcio. Alega que a sentença contrariou o artigo 12, § 1º, da Lei nº 8.245/91, e que a planilha de débitos apresentada contém valores indevidos, especialmente pela ausência de compensação da caução. Requer a reforma da sentença para reconhecer sua ilegitimidade passiva e afastar sua condenação ou, subsidiariamente, revisar os valores cobrados.</w:t>
      </w:r>
    </w:p>
    <w:p w:rsidR="00E67B40" w:rsidRPr="00E67B40" w:rsidRDefault="00E67B40" w:rsidP="00E67B40">
      <w:pPr>
        <w:autoSpaceDE w:val="0"/>
        <w:autoSpaceDN w:val="0"/>
        <w:adjustRightInd w:val="0"/>
        <w:spacing w:line="360" w:lineRule="auto"/>
        <w:ind w:firstLine="1418"/>
        <w:jc w:val="both"/>
        <w:rPr>
          <w:rFonts w:ascii="Arial" w:hAnsi="Arial" w:cs="Arial"/>
          <w:sz w:val="24"/>
        </w:rPr>
      </w:pPr>
      <w:r>
        <w:t>Louize, por sua vez, alega que não assinou o contrato de locação e não pode ser responsabilizada pelos débitos. Sustenta que houve cerceamento de defesa pelo indeferimento da produção de provas e invoca o direito à moradia, afirmando que a condenação compromete sua subsistência. Requer a reforma da sentença para afastar sua responsabilidade ou, alternativamente, revisar os valores cobrados e afastar a condenação solidária.</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pelo requerido (fls. 151/152 e 225/226), sem preparo pela requerida ante o pedido de concessão do benefício da gratuidade judiciária em sede recursal e regularmente processado, com contrarrazões (fls. 184/190 e 197/203).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e na r. sentença proferida, pelo meu voto, nego provimento a ambos os recursos.</w:t>
      </w:r>
    </w:p>
    <w:p w:rsidR="00AD286C" w:rsidRPr="00AD286C" w:rsidRDefault="00AD286C" w:rsidP="00AD286C">
      <w:pPr>
        <w:tabs>
          <w:tab w:val="center" w:pos="4961"/>
        </w:tabs>
        <w:spacing w:line="360" w:lineRule="auto"/>
        <w:ind w:firstLine="1418"/>
        <w:jc w:val="both"/>
        <w:rPr>
          <w:rFonts w:ascii="Arial" w:hAnsi="Arial" w:cs="Arial"/>
          <w:sz w:val="24"/>
        </w:rPr>
      </w:pPr>
      <w:r>
        <w:t>Narra o autor em sua inicial que celebrou contrato de locação com o réu AUTOR(A) Galvão em 24/04/2020, referente ao imóvel objeto da lide. Sustenta que, após a separação de Marcelo, sua ex-esposa, Louize, permaneceu no imóvel sem que houvesse qualquer formalização da sub-rogação contratual, razão pela qual ambos seriam responsáveis solidários pelo pagamento dos aluguéis vencidos.</w:t>
      </w:r>
    </w:p>
    <w:p w:rsidR="00AD286C" w:rsidRPr="00AD286C" w:rsidRDefault="00AD286C" w:rsidP="00AD286C">
      <w:pPr>
        <w:tabs>
          <w:tab w:val="center" w:pos="4961"/>
        </w:tabs>
        <w:spacing w:line="360" w:lineRule="auto"/>
        <w:ind w:firstLine="1418"/>
        <w:jc w:val="both"/>
        <w:rPr>
          <w:rFonts w:ascii="Arial" w:hAnsi="Arial" w:cs="Arial"/>
          <w:sz w:val="24"/>
        </w:rPr>
      </w:pPr>
      <w:r>
        <w:t>Em sede de contestação, Louize alegou ilegitimidade passiva, sustentando que não foi parte no contrato de locação e que não houve constituição em mora. No mérito, afirmou ter recebido o imóvel em comodato de Marcelo e invocou o direito à moradia, uma vez que reside com uma criança enferma. Por sua vez, Marcelo argumentou que ficou acordado no divórcio que ele arcaria com os aluguéis por apenas 90 dias após a dissolução do vínculo conjugal, sendo posteriormente de responsabilidade exclusiva da ré desocupar o imóvel. Alegou, ainda, que notificou a sub-rogação em 30/03/2022 e impugnou os cálculos apresentados pelo autor, afirmando que os juros aplicados são abusivos.</w:t>
      </w:r>
    </w:p>
    <w:p w:rsidR="00AD286C" w:rsidRPr="00AD286C" w:rsidRDefault="00AD286C" w:rsidP="00AD286C">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A628E8" w:rsidRDefault="00A628E8" w:rsidP="00D14C33">
      <w:pPr>
        <w:tabs>
          <w:tab w:val="center" w:pos="4961"/>
        </w:tabs>
        <w:spacing w:line="360" w:lineRule="auto"/>
        <w:ind w:firstLine="1418"/>
        <w:jc w:val="both"/>
        <w:rPr>
          <w:rFonts w:ascii="Arial" w:hAnsi="Arial" w:cs="Arial"/>
          <w:sz w:val="24"/>
        </w:rPr>
      </w:pPr>
      <w:r>
        <w:t>Inicialmente, defiro o benefício da gratuidade judiciária à apelante Louize. Consigno que resta prejudicada a apreciação do pedido formulado de concessão da benesse pelo apelante Marcelo ante o recolhimento do preparo, bem como a ausência de documentos hábeis para comprovar a hipossuficiência alegada.</w:t>
      </w:r>
    </w:p>
    <w:p w:rsidR="00A628E8" w:rsidRDefault="00C36771" w:rsidP="00D14C33">
      <w:pPr>
        <w:tabs>
          <w:tab w:val="center" w:pos="4961"/>
        </w:tabs>
        <w:spacing w:line="360" w:lineRule="auto"/>
        <w:ind w:firstLine="1418"/>
        <w:jc w:val="both"/>
        <w:rPr>
          <w:rFonts w:ascii="Arial" w:hAnsi="Arial" w:cs="Arial"/>
          <w:sz w:val="24"/>
        </w:rPr>
      </w:pPr>
      <w:r>
        <w:t>A controvérsia cinge-se à responsabilidade dos apelantes pelo pagamento dos aluguéis vencidos, especialmente quanto à validade da sub-rogação alegada por Marcelo e à alegação de ilegitimidade passiva de Louize. Discute-se, ainda, a compensação da caução e a suposta irregularidade nos cálculos apresentados pelo locador. No mais, a preliminar arguida pela apelante Louize se confunde com o mérito e será julgada em conjunto.</w:t>
      </w:r>
    </w:p>
    <w:p w:rsidR="00C36771" w:rsidRDefault="00C36771" w:rsidP="00D14C33">
      <w:pPr>
        <w:tabs>
          <w:tab w:val="center" w:pos="4961"/>
        </w:tabs>
        <w:spacing w:line="360" w:lineRule="auto"/>
        <w:ind w:firstLine="1418"/>
        <w:jc w:val="both"/>
        <w:rPr>
          <w:rFonts w:ascii="Arial" w:hAnsi="Arial" w:cs="Arial"/>
          <w:sz w:val="24"/>
        </w:rPr>
      </w:pPr>
      <w:r>
        <w:t>Da análise dos autos, entendo que não houve cerceamento de defesa. Isso porque a controvérsia posta nos autos é estritamente documental, sendo a prova essencialmente constituída pelo contrato de locação e demais documentos anexados. Não há como a oitiva de testemunhas ou a produção de prova oral modificar o que foi formalmente pactuado entre as partes, especialmente no que se refere à responsabilidade pelos encargos locatícios. Ademais, o destinatário da prova é o juiz, a quem compete avaliar a necessidade da instrução probatória, nos termos do artigo 130 do Código de AUTOR(A). No caso concreto, o magistrado entendeu que o conjunto probatório já era suficiente para o deslinde da causa, razão pela qual o julgamento antecipado não violou o contraditório ou a ampla defesa, devendo ser afastada a preliminar arguida.</w:t>
      </w:r>
    </w:p>
    <w:p w:rsidR="009B0457" w:rsidRPr="009B0457" w:rsidRDefault="009B0457" w:rsidP="009B0457">
      <w:pPr>
        <w:tabs>
          <w:tab w:val="center" w:pos="4961"/>
        </w:tabs>
        <w:spacing w:line="360" w:lineRule="auto"/>
        <w:ind w:firstLine="1418"/>
        <w:jc w:val="both"/>
        <w:rPr>
          <w:rFonts w:ascii="Arial" w:hAnsi="Arial" w:cs="Arial"/>
          <w:sz w:val="24"/>
        </w:rPr>
      </w:pPr>
      <w:r>
        <w:t>Quanto ao recurso da corré Louize, não há como acolher a tese de ilegitimidade passiva. Apesar de não ter firmado o contrato de locação, é incontroverso que permaneceu no imóvel após a separação do casal, em comum acordo com o corréu Marcelo, que comunicou por escrito a sub-rogação do contrato (fl. 92). Ainda que se discuta a plena incidência do artigo 13 da Lei n. 8.245/91 ao caso concreto, entendo que, diante das peculiaridades dos autos — especialmente o convívio prolongado da requerida no imóvel, com ciência do locador e sem oposição à permanência —, a sua manutenção no polo passivo é medida que se impõe.</w:t>
      </w:r>
    </w:p>
    <w:p w:rsidR="009B0457" w:rsidRPr="009B0457" w:rsidRDefault="009B0457" w:rsidP="009B0457">
      <w:pPr>
        <w:tabs>
          <w:tab w:val="center" w:pos="4961"/>
        </w:tabs>
        <w:spacing w:line="360" w:lineRule="auto"/>
        <w:ind w:firstLine="1418"/>
        <w:jc w:val="both"/>
        <w:rPr>
          <w:rFonts w:ascii="Arial" w:hAnsi="Arial" w:cs="Arial"/>
          <w:sz w:val="24"/>
        </w:rPr>
      </w:pPr>
      <w:r>
        <w:t>Além disso, eventual acordo firmado entre os corréus no processo de divórcio, para limitar a responsabilidade de Marcelo quanto ao pagamento dos aluguéis, não é oponível ao locador, parte estranha àquela relação. Trata-se de convenção privada, com eficácia limitada às partes que a firmaram, não podendo afetar os efeitos do contrato de locação, que se mantém íntegro quanto às obrigações pactuadas.</w:t>
      </w:r>
    </w:p>
    <w:p w:rsidR="009B0457" w:rsidRDefault="009B0457" w:rsidP="009B0457">
      <w:pPr>
        <w:tabs>
          <w:tab w:val="center" w:pos="4961"/>
        </w:tabs>
        <w:spacing w:line="360" w:lineRule="auto"/>
        <w:ind w:firstLine="1418"/>
        <w:jc w:val="both"/>
        <w:rPr>
          <w:rFonts w:ascii="Arial" w:hAnsi="Arial" w:cs="Arial"/>
          <w:sz w:val="24"/>
        </w:rPr>
      </w:pPr>
      <w:r>
        <w:t>Corrobora essa conclusão o fato de que, embora ausente do imóvel, Marcelo manteve a posse indireta sobre ele, na medida em que permitiu e consentiu com a ocupação pela ex-esposa, como bem destacado pelo Juízo de origem. Esse é o entendimento desta C. Câmara:</w:t>
      </w:r>
    </w:p>
    <w:p w:rsidR="008E6051" w:rsidRDefault="008E6051" w:rsidP="009B0457">
      <w:pPr>
        <w:tabs>
          <w:tab w:val="center" w:pos="4961"/>
        </w:tabs>
        <w:spacing w:line="360" w:lineRule="auto"/>
        <w:ind w:firstLine="1418"/>
        <w:jc w:val="both"/>
        <w:rPr>
          <w:rFonts w:ascii="Arial" w:hAnsi="Arial" w:cs="Arial"/>
          <w:sz w:val="24"/>
        </w:rPr>
      </w:pPr>
      <w:r>
        <w:t>“Locação de imóvel para fins residenciais – Ação de despejo cumulada com cobrança de aluguéis – Separação de fato dos locatários – Sub-rogação da locatária, que permaneceu no imóvel – Sentença de procedência para condenar solidariamente os locatários e fiadores ao pagamento de aluguéis – Rejeitada a preliminar de cerceamento de defesa – Prova oral inútil no caso concreto e seu pedido não foi formulado em momento oportuno - Eficácia da sub-rogação condicionada à notificação por escrito da locadora (art. 12, § 1º, da Lei 8.245/91) – Ausente essa prova, fica mantido o vínculo dos réus e a obrigação de pagar os aluguéis vencidos – Desprovimento da apelação.” (TJSP; Apelação Cível 0000000-00.0000.0.00.0000; Relator (a): Mário Daccache; Órgão Julgador: 29ª Câmara de AUTOR(A); Foro de Santos - [VARA]; Data do Julgamento: 31/03/2023; Data de Registro: 31/03/2023)</w:t>
      </w:r>
    </w:p>
    <w:p w:rsidR="008E6051" w:rsidRPr="009B0457" w:rsidRDefault="008E6051" w:rsidP="009B0457">
      <w:pPr>
        <w:tabs>
          <w:tab w:val="center" w:pos="4961"/>
        </w:tabs>
        <w:spacing w:line="360" w:lineRule="auto"/>
        <w:ind w:firstLine="1418"/>
        <w:jc w:val="both"/>
        <w:rPr>
          <w:rFonts w:ascii="Arial" w:hAnsi="Arial" w:cs="Arial"/>
          <w:sz w:val="24"/>
        </w:rPr>
      </w:pPr>
      <w:r>
        <w:t>“Apelação. Ação de despejo por falta de pagamento e cobrança. Locação de imóvel residencial - Sentença de procedência - Apelo da ré - Contrato de locação firmado pelo cônjuge varão que se afasta do imóvel em razão de incontroversa separação do casal - Sub-rogação da locação nos termos do art. 12, caput, da Lei nº 8.245/91 – Legitimidade da cônjuge que permaneceu no imóvel para figurar no polo passivo - A mora não purgada enseja a rescisão do contrato de locação e a decretação do despejo, este prejudicado ante a desocupação do imóvel, certificada nos autos - Sentença mantida. Recurso desprovido, com observação.” (TJSP; Apelação Cível 0000000-00.0000.0.00.0000; Relator (a): AUTOR(A) de AUTOR(A); Órgão Julgador: 29ª Câmara de AUTOR(A); Foro de Osasco - [VARA]; Data do Julgamento: 19/07/2019; Data de Registro: 19/07/2019)</w:t>
      </w:r>
    </w:p>
    <w:p w:rsidR="00D11B90" w:rsidRDefault="00D11B90" w:rsidP="00D14C33">
      <w:pPr>
        <w:tabs>
          <w:tab w:val="center" w:pos="4961"/>
        </w:tabs>
        <w:spacing w:line="360" w:lineRule="auto"/>
        <w:ind w:firstLine="1418"/>
        <w:jc w:val="both"/>
        <w:rPr>
          <w:rFonts w:ascii="Arial" w:hAnsi="Arial" w:cs="Arial"/>
          <w:sz w:val="24"/>
        </w:rPr>
      </w:pPr>
      <w:r>
        <w:t>Quanto aos valores efetivamente devidos, tenho que o apelante apresentou uma impugnação genérica, sem demonstrar quais são os valores que entende serem devidos. Nos termos do art. 373 do CPC, o ônus da prova incumbe a quem alega, sendo dever do apelante indicar de forma objetiva e fundamentada quais equívocos teriam sido cometidos na planilha apresentada pelo locador. A ausência de demonstração específica inviabiliza a revisão dos cálculos em sede recursal, uma vez que não cabe ao Judiciário suprir a falta de elementos concretos para tanto. Assim, não há razão para a modificação dos valores fixados na sentença.</w:t>
      </w:r>
    </w:p>
    <w:p w:rsidR="00E17BE4" w:rsidRPr="006336F9" w:rsidRDefault="00E17BE4" w:rsidP="00E17BE4">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E17BE4" w:rsidRPr="00670FAD" w:rsidRDefault="00E17BE4" w:rsidP="00E17BE4">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E17BE4" w:rsidRPr="00670FAD" w:rsidRDefault="00E17BE4" w:rsidP="00E17BE4">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E17BE4" w:rsidRPr="00670FAD" w:rsidRDefault="00E17BE4" w:rsidP="00E17BE4">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E17BE4" w:rsidRDefault="00E17BE4" w:rsidP="00E17BE4">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E17BE4" w:rsidRDefault="00E17BE4" w:rsidP="00E17BE4">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E17BE4" w:rsidRDefault="00E17BE4" w:rsidP="00E17BE4">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atualizado da causa para ambos os requeridos, devendo ser observada a gratuidade judiciária concedida (com efeitos ex tunc) à corré Louize.</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 ambos os recursos.</w:t>
      </w:r>
    </w:p>
    <w:p w:rsidR="00D14C33" w:rsidRPr="00324889" w:rsidRDefault="00D14C33" w:rsidP="00DC66B6">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7F81" w:rsidRDefault="000E7F81">
      <w:pPr>
        <w:spacing w:after="0" w:line="240" w:lineRule="auto"/>
      </w:pPr>
      <w:r>
        <w:separator/>
      </w:r>
    </w:p>
  </w:endnote>
  <w:endnote w:type="continuationSeparator" w:id="0">
    <w:p w:rsidR="000E7F81" w:rsidRDefault="000E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BD4483">
      <w:t xml:space="preserve">s - </w:t>
    </w:r>
    <w:r w:rsidR="00BD4483">
      <w:fldChar w:fldCharType="begin"/>
    </w:r>
    <w:r w:rsidR="00BD4483">
      <w:instrText>PAGE   \* MERGEFORMAT</w:instrText>
    </w:r>
    <w:r w:rsidR="00BD4483">
      <w:fldChar w:fldCharType="separate"/>
    </w:r>
    <w:r w:rsidR="00BD4483">
      <w:t>2</w:t>
    </w:r>
    <w:r w:rsidR="00BD448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7F81" w:rsidRDefault="000E7F81">
      <w:pPr>
        <w:spacing w:after="0" w:line="240" w:lineRule="auto"/>
      </w:pPr>
      <w:r>
        <w:separator/>
      </w:r>
    </w:p>
  </w:footnote>
  <w:footnote w:type="continuationSeparator" w:id="0">
    <w:p w:rsidR="000E7F81" w:rsidRDefault="000E7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BD448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BD448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BD448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BD448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0095"/>
    <w:rsid w:val="000B778C"/>
    <w:rsid w:val="000D3C3F"/>
    <w:rsid w:val="000E7F81"/>
    <w:rsid w:val="000F6337"/>
    <w:rsid w:val="00152E14"/>
    <w:rsid w:val="001564C3"/>
    <w:rsid w:val="00157738"/>
    <w:rsid w:val="00171308"/>
    <w:rsid w:val="00175FD5"/>
    <w:rsid w:val="003F050A"/>
    <w:rsid w:val="00432B56"/>
    <w:rsid w:val="004708D3"/>
    <w:rsid w:val="004E76C5"/>
    <w:rsid w:val="00540190"/>
    <w:rsid w:val="006E32AB"/>
    <w:rsid w:val="006F727A"/>
    <w:rsid w:val="007915FD"/>
    <w:rsid w:val="00794CB3"/>
    <w:rsid w:val="007A3FDE"/>
    <w:rsid w:val="007B4EF3"/>
    <w:rsid w:val="007D6FDE"/>
    <w:rsid w:val="007F6274"/>
    <w:rsid w:val="00864B86"/>
    <w:rsid w:val="008E6051"/>
    <w:rsid w:val="00961765"/>
    <w:rsid w:val="009707EB"/>
    <w:rsid w:val="00981CA6"/>
    <w:rsid w:val="00986E92"/>
    <w:rsid w:val="00993E7A"/>
    <w:rsid w:val="009B0457"/>
    <w:rsid w:val="009B41D1"/>
    <w:rsid w:val="00A024B3"/>
    <w:rsid w:val="00A21A4A"/>
    <w:rsid w:val="00A460FD"/>
    <w:rsid w:val="00A628E8"/>
    <w:rsid w:val="00A7325B"/>
    <w:rsid w:val="00AD286C"/>
    <w:rsid w:val="00B22FAB"/>
    <w:rsid w:val="00B2724A"/>
    <w:rsid w:val="00BD4483"/>
    <w:rsid w:val="00C1447E"/>
    <w:rsid w:val="00C36771"/>
    <w:rsid w:val="00CA0813"/>
    <w:rsid w:val="00D11B90"/>
    <w:rsid w:val="00D14C33"/>
    <w:rsid w:val="00D32250"/>
    <w:rsid w:val="00D34708"/>
    <w:rsid w:val="00D778B4"/>
    <w:rsid w:val="00DC66B6"/>
    <w:rsid w:val="00E025F2"/>
    <w:rsid w:val="00E17BE4"/>
    <w:rsid w:val="00E34097"/>
    <w:rsid w:val="00E67B40"/>
    <w:rsid w:val="00E93BFB"/>
    <w:rsid w:val="00EA0325"/>
    <w:rsid w:val="00EA08CF"/>
    <w:rsid w:val="00EC296C"/>
    <w:rsid w:val="00F12768"/>
    <w:rsid w:val="00FA1FAA"/>
    <w:rsid w:val="00FB2530"/>
    <w:rsid w:val="00FD2E60"/>
    <w:rsid w:val="00FD7029"/>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CECA9736-AE02-4AED-8566-DC82492E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character" w:styleId="Hyperlink">
    <w:name w:val="Hyperlink"/>
    <w:uiPriority w:val="99"/>
    <w:unhideWhenUsed/>
    <w:rsid w:val="00C36771"/>
    <w:rPr>
      <w:color w:val="0563C1"/>
      <w:u w:val="single"/>
    </w:rPr>
  </w:style>
  <w:style w:type="character" w:styleId="MenoPendente">
    <w:name w:val="Unresolved Mention"/>
    <w:uiPriority w:val="99"/>
    <w:semiHidden/>
    <w:unhideWhenUsed/>
    <w:rsid w:val="00C36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923794">
      <w:bodyDiv w:val="1"/>
      <w:marLeft w:val="0"/>
      <w:marRight w:val="0"/>
      <w:marTop w:val="0"/>
      <w:marBottom w:val="0"/>
      <w:divBdr>
        <w:top w:val="none" w:sz="0" w:space="0" w:color="auto"/>
        <w:left w:val="none" w:sz="0" w:space="0" w:color="auto"/>
        <w:bottom w:val="none" w:sz="0" w:space="0" w:color="auto"/>
        <w:right w:val="none" w:sz="0" w:space="0" w:color="auto"/>
      </w:divBdr>
    </w:div>
    <w:div w:id="679044708">
      <w:bodyDiv w:val="1"/>
      <w:marLeft w:val="0"/>
      <w:marRight w:val="0"/>
      <w:marTop w:val="0"/>
      <w:marBottom w:val="0"/>
      <w:divBdr>
        <w:top w:val="none" w:sz="0" w:space="0" w:color="auto"/>
        <w:left w:val="none" w:sz="0" w:space="0" w:color="auto"/>
        <w:bottom w:val="none" w:sz="0" w:space="0" w:color="auto"/>
        <w:right w:val="none" w:sz="0" w:space="0" w:color="auto"/>
      </w:divBdr>
    </w:div>
    <w:div w:id="862983375">
      <w:bodyDiv w:val="1"/>
      <w:marLeft w:val="0"/>
      <w:marRight w:val="0"/>
      <w:marTop w:val="0"/>
      <w:marBottom w:val="0"/>
      <w:divBdr>
        <w:top w:val="none" w:sz="0" w:space="0" w:color="auto"/>
        <w:left w:val="none" w:sz="0" w:space="0" w:color="auto"/>
        <w:bottom w:val="none" w:sz="0" w:space="0" w:color="auto"/>
        <w:right w:val="none" w:sz="0" w:space="0" w:color="auto"/>
      </w:divBdr>
    </w:div>
    <w:div w:id="879787092">
      <w:bodyDiv w:val="1"/>
      <w:marLeft w:val="0"/>
      <w:marRight w:val="0"/>
      <w:marTop w:val="0"/>
      <w:marBottom w:val="0"/>
      <w:divBdr>
        <w:top w:val="none" w:sz="0" w:space="0" w:color="auto"/>
        <w:left w:val="none" w:sz="0" w:space="0" w:color="auto"/>
        <w:bottom w:val="none" w:sz="0" w:space="0" w:color="auto"/>
        <w:right w:val="none" w:sz="0" w:space="0" w:color="auto"/>
      </w:divBdr>
    </w:div>
    <w:div w:id="1014765726">
      <w:bodyDiv w:val="1"/>
      <w:marLeft w:val="0"/>
      <w:marRight w:val="0"/>
      <w:marTop w:val="0"/>
      <w:marBottom w:val="0"/>
      <w:divBdr>
        <w:top w:val="none" w:sz="0" w:space="0" w:color="auto"/>
        <w:left w:val="none" w:sz="0" w:space="0" w:color="auto"/>
        <w:bottom w:val="none" w:sz="0" w:space="0" w:color="auto"/>
        <w:right w:val="none" w:sz="0" w:space="0" w:color="auto"/>
      </w:divBdr>
    </w:div>
    <w:div w:id="1103257397">
      <w:bodyDiv w:val="1"/>
      <w:marLeft w:val="0"/>
      <w:marRight w:val="0"/>
      <w:marTop w:val="0"/>
      <w:marBottom w:val="0"/>
      <w:divBdr>
        <w:top w:val="none" w:sz="0" w:space="0" w:color="auto"/>
        <w:left w:val="none" w:sz="0" w:space="0" w:color="auto"/>
        <w:bottom w:val="none" w:sz="0" w:space="0" w:color="auto"/>
        <w:right w:val="none" w:sz="0" w:space="0" w:color="auto"/>
      </w:divBdr>
    </w:div>
    <w:div w:id="1171291372">
      <w:bodyDiv w:val="1"/>
      <w:marLeft w:val="0"/>
      <w:marRight w:val="0"/>
      <w:marTop w:val="0"/>
      <w:marBottom w:val="0"/>
      <w:divBdr>
        <w:top w:val="none" w:sz="0" w:space="0" w:color="auto"/>
        <w:left w:val="none" w:sz="0" w:space="0" w:color="auto"/>
        <w:bottom w:val="none" w:sz="0" w:space="0" w:color="auto"/>
        <w:right w:val="none" w:sz="0" w:space="0" w:color="auto"/>
      </w:divBdr>
    </w:div>
    <w:div w:id="1194612807">
      <w:bodyDiv w:val="1"/>
      <w:marLeft w:val="0"/>
      <w:marRight w:val="0"/>
      <w:marTop w:val="0"/>
      <w:marBottom w:val="0"/>
      <w:divBdr>
        <w:top w:val="none" w:sz="0" w:space="0" w:color="auto"/>
        <w:left w:val="none" w:sz="0" w:space="0" w:color="auto"/>
        <w:bottom w:val="none" w:sz="0" w:space="0" w:color="auto"/>
        <w:right w:val="none" w:sz="0" w:space="0" w:color="auto"/>
      </w:divBdr>
      <w:divsChild>
        <w:div w:id="1469056286">
          <w:marLeft w:val="0"/>
          <w:marRight w:val="0"/>
          <w:marTop w:val="0"/>
          <w:marBottom w:val="0"/>
          <w:divBdr>
            <w:top w:val="none" w:sz="0" w:space="0" w:color="auto"/>
            <w:left w:val="none" w:sz="0" w:space="0" w:color="auto"/>
            <w:bottom w:val="none" w:sz="0" w:space="0" w:color="auto"/>
            <w:right w:val="none" w:sz="0" w:space="0" w:color="auto"/>
          </w:divBdr>
          <w:divsChild>
            <w:div w:id="901334276">
              <w:marLeft w:val="0"/>
              <w:marRight w:val="0"/>
              <w:marTop w:val="0"/>
              <w:marBottom w:val="0"/>
              <w:divBdr>
                <w:top w:val="none" w:sz="0" w:space="0" w:color="auto"/>
                <w:left w:val="none" w:sz="0" w:space="0" w:color="auto"/>
                <w:bottom w:val="none" w:sz="0" w:space="0" w:color="auto"/>
                <w:right w:val="none" w:sz="0" w:space="0" w:color="auto"/>
              </w:divBdr>
              <w:divsChild>
                <w:div w:id="98330776">
                  <w:marLeft w:val="0"/>
                  <w:marRight w:val="0"/>
                  <w:marTop w:val="0"/>
                  <w:marBottom w:val="0"/>
                  <w:divBdr>
                    <w:top w:val="none" w:sz="0" w:space="0" w:color="auto"/>
                    <w:left w:val="none" w:sz="0" w:space="0" w:color="auto"/>
                    <w:bottom w:val="none" w:sz="0" w:space="0" w:color="auto"/>
                    <w:right w:val="none" w:sz="0" w:space="0" w:color="auto"/>
                  </w:divBdr>
                  <w:divsChild>
                    <w:div w:id="207646531">
                      <w:marLeft w:val="0"/>
                      <w:marRight w:val="0"/>
                      <w:marTop w:val="0"/>
                      <w:marBottom w:val="0"/>
                      <w:divBdr>
                        <w:top w:val="none" w:sz="0" w:space="0" w:color="auto"/>
                        <w:left w:val="none" w:sz="0" w:space="0" w:color="auto"/>
                        <w:bottom w:val="none" w:sz="0" w:space="0" w:color="auto"/>
                        <w:right w:val="none" w:sz="0" w:space="0" w:color="auto"/>
                      </w:divBdr>
                      <w:divsChild>
                        <w:div w:id="167407774">
                          <w:marLeft w:val="0"/>
                          <w:marRight w:val="0"/>
                          <w:marTop w:val="0"/>
                          <w:marBottom w:val="0"/>
                          <w:divBdr>
                            <w:top w:val="none" w:sz="0" w:space="0" w:color="auto"/>
                            <w:left w:val="none" w:sz="0" w:space="0" w:color="auto"/>
                            <w:bottom w:val="none" w:sz="0" w:space="0" w:color="auto"/>
                            <w:right w:val="none" w:sz="0" w:space="0" w:color="auto"/>
                          </w:divBdr>
                          <w:divsChild>
                            <w:div w:id="1833518529">
                              <w:marLeft w:val="0"/>
                              <w:marRight w:val="0"/>
                              <w:marTop w:val="0"/>
                              <w:marBottom w:val="0"/>
                              <w:divBdr>
                                <w:top w:val="none" w:sz="0" w:space="0" w:color="auto"/>
                                <w:left w:val="none" w:sz="0" w:space="0" w:color="auto"/>
                                <w:bottom w:val="none" w:sz="0" w:space="0" w:color="auto"/>
                                <w:right w:val="none" w:sz="0" w:space="0" w:color="auto"/>
                              </w:divBdr>
                              <w:divsChild>
                                <w:div w:id="1319117219">
                                  <w:marLeft w:val="0"/>
                                  <w:marRight w:val="0"/>
                                  <w:marTop w:val="0"/>
                                  <w:marBottom w:val="0"/>
                                  <w:divBdr>
                                    <w:top w:val="none" w:sz="0" w:space="0" w:color="auto"/>
                                    <w:left w:val="none" w:sz="0" w:space="0" w:color="auto"/>
                                    <w:bottom w:val="none" w:sz="0" w:space="0" w:color="auto"/>
                                    <w:right w:val="none" w:sz="0" w:space="0" w:color="auto"/>
                                  </w:divBdr>
                                  <w:divsChild>
                                    <w:div w:id="642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54659">
      <w:bodyDiv w:val="1"/>
      <w:marLeft w:val="0"/>
      <w:marRight w:val="0"/>
      <w:marTop w:val="0"/>
      <w:marBottom w:val="0"/>
      <w:divBdr>
        <w:top w:val="none" w:sz="0" w:space="0" w:color="auto"/>
        <w:left w:val="none" w:sz="0" w:space="0" w:color="auto"/>
        <w:bottom w:val="none" w:sz="0" w:space="0" w:color="auto"/>
        <w:right w:val="none" w:sz="0" w:space="0" w:color="auto"/>
      </w:divBdr>
    </w:div>
    <w:div w:id="1289317782">
      <w:bodyDiv w:val="1"/>
      <w:marLeft w:val="0"/>
      <w:marRight w:val="0"/>
      <w:marTop w:val="0"/>
      <w:marBottom w:val="0"/>
      <w:divBdr>
        <w:top w:val="none" w:sz="0" w:space="0" w:color="auto"/>
        <w:left w:val="none" w:sz="0" w:space="0" w:color="auto"/>
        <w:bottom w:val="none" w:sz="0" w:space="0" w:color="auto"/>
        <w:right w:val="none" w:sz="0" w:space="0" w:color="auto"/>
      </w:divBdr>
      <w:divsChild>
        <w:div w:id="488979969">
          <w:marLeft w:val="0"/>
          <w:marRight w:val="0"/>
          <w:marTop w:val="0"/>
          <w:marBottom w:val="0"/>
          <w:divBdr>
            <w:top w:val="none" w:sz="0" w:space="0" w:color="auto"/>
            <w:left w:val="none" w:sz="0" w:space="0" w:color="auto"/>
            <w:bottom w:val="none" w:sz="0" w:space="0" w:color="auto"/>
            <w:right w:val="none" w:sz="0" w:space="0" w:color="auto"/>
          </w:divBdr>
          <w:divsChild>
            <w:div w:id="1910995150">
              <w:marLeft w:val="0"/>
              <w:marRight w:val="0"/>
              <w:marTop w:val="0"/>
              <w:marBottom w:val="0"/>
              <w:divBdr>
                <w:top w:val="none" w:sz="0" w:space="0" w:color="auto"/>
                <w:left w:val="none" w:sz="0" w:space="0" w:color="auto"/>
                <w:bottom w:val="none" w:sz="0" w:space="0" w:color="auto"/>
                <w:right w:val="none" w:sz="0" w:space="0" w:color="auto"/>
              </w:divBdr>
              <w:divsChild>
                <w:div w:id="853491646">
                  <w:marLeft w:val="0"/>
                  <w:marRight w:val="0"/>
                  <w:marTop w:val="0"/>
                  <w:marBottom w:val="0"/>
                  <w:divBdr>
                    <w:top w:val="none" w:sz="0" w:space="0" w:color="auto"/>
                    <w:left w:val="none" w:sz="0" w:space="0" w:color="auto"/>
                    <w:bottom w:val="none" w:sz="0" w:space="0" w:color="auto"/>
                    <w:right w:val="none" w:sz="0" w:space="0" w:color="auto"/>
                  </w:divBdr>
                  <w:divsChild>
                    <w:div w:id="784426149">
                      <w:marLeft w:val="0"/>
                      <w:marRight w:val="0"/>
                      <w:marTop w:val="0"/>
                      <w:marBottom w:val="0"/>
                      <w:divBdr>
                        <w:top w:val="none" w:sz="0" w:space="0" w:color="auto"/>
                        <w:left w:val="none" w:sz="0" w:space="0" w:color="auto"/>
                        <w:bottom w:val="none" w:sz="0" w:space="0" w:color="auto"/>
                        <w:right w:val="none" w:sz="0" w:space="0" w:color="auto"/>
                      </w:divBdr>
                      <w:divsChild>
                        <w:div w:id="1804149623">
                          <w:marLeft w:val="0"/>
                          <w:marRight w:val="0"/>
                          <w:marTop w:val="0"/>
                          <w:marBottom w:val="0"/>
                          <w:divBdr>
                            <w:top w:val="none" w:sz="0" w:space="0" w:color="auto"/>
                            <w:left w:val="none" w:sz="0" w:space="0" w:color="auto"/>
                            <w:bottom w:val="none" w:sz="0" w:space="0" w:color="auto"/>
                            <w:right w:val="none" w:sz="0" w:space="0" w:color="auto"/>
                          </w:divBdr>
                          <w:divsChild>
                            <w:div w:id="1006858327">
                              <w:marLeft w:val="0"/>
                              <w:marRight w:val="0"/>
                              <w:marTop w:val="0"/>
                              <w:marBottom w:val="0"/>
                              <w:divBdr>
                                <w:top w:val="none" w:sz="0" w:space="0" w:color="auto"/>
                                <w:left w:val="none" w:sz="0" w:space="0" w:color="auto"/>
                                <w:bottom w:val="none" w:sz="0" w:space="0" w:color="auto"/>
                                <w:right w:val="none" w:sz="0" w:space="0" w:color="auto"/>
                              </w:divBdr>
                              <w:divsChild>
                                <w:div w:id="1970818302">
                                  <w:marLeft w:val="0"/>
                                  <w:marRight w:val="0"/>
                                  <w:marTop w:val="0"/>
                                  <w:marBottom w:val="0"/>
                                  <w:divBdr>
                                    <w:top w:val="none" w:sz="0" w:space="0" w:color="auto"/>
                                    <w:left w:val="none" w:sz="0" w:space="0" w:color="auto"/>
                                    <w:bottom w:val="none" w:sz="0" w:space="0" w:color="auto"/>
                                    <w:right w:val="none" w:sz="0" w:space="0" w:color="auto"/>
                                  </w:divBdr>
                                  <w:divsChild>
                                    <w:div w:id="724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81253121">
      <w:bodyDiv w:val="1"/>
      <w:marLeft w:val="0"/>
      <w:marRight w:val="0"/>
      <w:marTop w:val="0"/>
      <w:marBottom w:val="0"/>
      <w:divBdr>
        <w:top w:val="none" w:sz="0" w:space="0" w:color="auto"/>
        <w:left w:val="none" w:sz="0" w:space="0" w:color="auto"/>
        <w:bottom w:val="none" w:sz="0" w:space="0" w:color="auto"/>
        <w:right w:val="none" w:sz="0" w:space="0" w:color="auto"/>
      </w:divBdr>
    </w:div>
    <w:div w:id="1818837227">
      <w:bodyDiv w:val="1"/>
      <w:marLeft w:val="0"/>
      <w:marRight w:val="0"/>
      <w:marTop w:val="0"/>
      <w:marBottom w:val="0"/>
      <w:divBdr>
        <w:top w:val="none" w:sz="0" w:space="0" w:color="auto"/>
        <w:left w:val="none" w:sz="0" w:space="0" w:color="auto"/>
        <w:bottom w:val="none" w:sz="0" w:space="0" w:color="auto"/>
        <w:right w:val="none" w:sz="0" w:space="0" w:color="auto"/>
      </w:divBdr>
    </w:div>
    <w:div w:id="1841433413">
      <w:bodyDiv w:val="1"/>
      <w:marLeft w:val="0"/>
      <w:marRight w:val="0"/>
      <w:marTop w:val="0"/>
      <w:marBottom w:val="0"/>
      <w:divBdr>
        <w:top w:val="none" w:sz="0" w:space="0" w:color="auto"/>
        <w:left w:val="none" w:sz="0" w:space="0" w:color="auto"/>
        <w:bottom w:val="none" w:sz="0" w:space="0" w:color="auto"/>
        <w:right w:val="none" w:sz="0" w:space="0" w:color="auto"/>
      </w:divBdr>
    </w:div>
    <w:div w:id="1917933808">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1955</Words>
  <Characters>10560</Characters>
  <Application>Microsoft Office Word</Application>
  <DocSecurity>4</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