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CATANDUVA – 3ª VARA CÍVEL 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AUTOR(A) / João Luiz Lourenço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João Luiz Lourenço / AUTOR(A) e João AUTOR(A) da Silva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11.212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C853AF" w:rsidP="00C853AF">
      <w:pPr>
        <w:pStyle w:val="Recuodecorpodetexto"/>
        <w:rPr>
          <w:rFonts w:ascii="Arial" w:hAnsi="Arial" w:cs="Arial"/>
          <w:sz w:val="22"/>
          <w:szCs w:val="22"/>
        </w:rPr>
      </w:pPr>
      <w:r>
        <w:t>APELAÇÃO CÍVEL - LOCAÇÃO COMERCIAL – RESCISÃO CONTRATUAL – INDENIZAÇÃO POR BENFEITORIAS – ENRIQUECIMENTO SEM CAUSA – RESPONSABILIDADE DO ADQUIRENTE – DANOS MORAIS – MULTA CONTRATUAL. Insurgência do autor e do réu. Cláusula de renúncia à indenização afastada diante da rescisão antecipada imposta ao locatário ante a venda do imóvel sem observância ao direito de preferência. Comprovação dos investimentos e sua incorporação ao imóvel. Responsabilidade do locador pelo ressarcimento dos valores despendidos, eis que o ordenamento jurídico veda o enriquecimento ilícito. Adquirente do imóvel que não responde pelas benfeitorias, ante a ausência de cláusula de vigência registrada na matrícula, nos termos da Súmula 158 do STF. Pedido de indenização por danos morais indeferido, pois o rompimento contratual e os prejuízos suportados pelo autor não configuram violação à sua dignidade ou lesão extrapatrimonial indenizável. Multa contratual afastada. Majoração da verba honorária devida em sede recursal. Recursos improvidos.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4A3192" w:rsidRPr="004A3192" w:rsidRDefault="004A3192" w:rsidP="004A3192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rescisão de contrato de locação c.c. restituição de valores e indenização por danos morais, fundada em descumprimento contratual e enriquecimento sem causa, ajuizada por João Luiz Lourenço em face de AUTOR(A). e João AUTOR(A) da Silva, julgada parcialmente procedente pela r. sentença de fls. 335/349, cujo relatório se adota, para condenar a ré AUTOR(A). ao pagamento de R$ 83.877,81 (oitenta e três mil, oitocentos e setenta e sete reais e oitenta e um centavos), a título de indenização pelas benfeitorias realizadas no imóvel, corrigidos monetariamente desde a propositura da ação e acrescidos de juros de mora de 1% ao mês a partir da citação.</w:t>
      </w:r>
    </w:p>
    <w:p w:rsidR="004A3192" w:rsidRPr="004A3192" w:rsidRDefault="004A3192" w:rsidP="004A3192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sentença também declarou a resilição bilateral (distrato) do contrato de locação, ocorrida em 12/06/2017, afastou a responsabilidade de João AUTOR(A) da Silva e julgou improcedentes os pedidos de indenização por danos morais e multa contratual.</w:t>
      </w:r>
    </w:p>
    <w:p w:rsidR="004A3192" w:rsidRPr="004A3192" w:rsidRDefault="004A3192" w:rsidP="004A3192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Diante da sucumbência recíproca, a r. sentença fixou a divisão proporcional das custas processuais e condenou as partes ao pagamento de honorários advocatícios, nos termos do art. 85, §2º, do CPC.</w:t>
      </w:r>
    </w:p>
    <w:p w:rsidR="00F471D7" w:rsidRPr="00F471D7" w:rsidRDefault="00F471D7" w:rsidP="00F471D7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 a corré AUTOR(A) (fls. 370/379), buscando a reforma do julgado. Aduz, em síntese, que não autorizou as benfeitorias realizadas pelo autor no imóvel, que os documentos apresentados para comprovação dos gastos são frágeis e que a indenização concedida viola a cláusula VIII do contrato de locação, bem como a Súmula 335 do STJ, que admite a renúncia à indenização por benfeitorias em contratos locatícios. Argumenta, ainda, que a gravação apresentada pelo autor é ilícita e que as benfeitorias sequer valorizaram o imóvel, não havendo que se falar em enriquecimento sem causa. Pugna pela reforma da sentença para julgar totalmente improcedentes os pedidos do autor e afastar a condenação ao pagamento da indenização pelas benfeitorias.</w:t>
      </w:r>
    </w:p>
    <w:p w:rsidR="00F471D7" w:rsidRPr="00F471D7" w:rsidRDefault="00F471D7" w:rsidP="00F471D7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parte autora, igualmente irresignada, interpôs recurso adesivo (fls. 389/407), sustentando que o corréu João AUTOR(A) da Silva deveria ser condenado solidariamente ao pagamento da indenização pelas benfeitorias, pois tinha pleno conhecimento da locação antes de adquirir o imóvel e participou das negociações para ressarcimento. Defende, ainda, que houve enriquecimento ilícito dos corréus, pois o imóvel foi valorizado pelas benfeitorias realizadas. Além disso, requer a reforma da sentença para condenar os réus ao pagamento de indenização por danos morais e da multa contratual prevista na cláusula XI do contrato de locação.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384/384, 408/409, 454/455 e 458/459) e regularmente processado, com contrarrazões (fls. 414/425 pelo autor e fls. 429/439 pelo corréu João Carlos). Recebido, neste momento, em seus efeitos legais, nos termos do artigo 1.012 do Código de AUTOR(A).</w:t>
      </w:r>
    </w:p>
    <w:p w:rsidR="00D14C33" w:rsidRPr="00980A50" w:rsidRDefault="00C7082C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A parte autora manifestou oposição ao julgamento virtual (fl. 444).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nas razões de apelação, pelo meu voto, nego provimento a ambos os recursos.</w:t>
      </w:r>
    </w:p>
    <w:p w:rsidR="00F471D7" w:rsidRPr="00F471D7" w:rsidRDefault="00F471D7" w:rsidP="00F471D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o autor, em sua inicial, que celebrou contrato de locação com a corré AUTOR(A). em 15 de fevereiro de 2017, referente a um imóvel, com duração de 24 meses, cujo término estava previsto para 15 de fevereiro de 2019. Afirma que realizou diversas benfeitorias no terreno para a instalação de seu empreendimento, um parque de diversões, incluindo retirada de entulhos, instalação de esgoto e água, construção de banheiros e muros, com um gasto total de R$ 83.877,11.</w:t>
      </w:r>
    </w:p>
    <w:p w:rsidR="00F471D7" w:rsidRPr="00F471D7" w:rsidRDefault="00F471D7" w:rsidP="00F471D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Relata que, em 12 de junho de 2017, foi surpreendido pelo corréu João AUTOR(A) da Silva, que lhe informou ser o novo proprietário do imóvel e exigiu a paralisação imediata das obras, pois pretendia vender o terreno. Alega que os réus garantiram que todas as despesas seriam reembolsadas, mas, apesar disso, permaneceu sem qualquer ressarcimento. Defende que seu contrato de locação foi desrespeitado e que sofreu danos materiais e morais, além de ter direito à multa contratual pela rescisão antecipada do contrato.</w:t>
      </w:r>
    </w:p>
    <w:p w:rsidR="00F471D7" w:rsidRPr="00F471D7" w:rsidRDefault="00F471D7" w:rsidP="00F471D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a corré AUTOR(A). sustentou que a desocupação do imóvel ocorreu de forma voluntária e que o autor estava inadimplente com os aluguéis. Alegou que não autorizou as benfeitorias e que o contrato previa expressamente a renúncia a qualquer indenização por obras realizadas no imóvel. Também impugnou os documentos apresentados pelo autor para comprovar os gastos e questionou a legalidade da gravação juntada aos autos.</w:t>
      </w:r>
    </w:p>
    <w:p w:rsidR="00F471D7" w:rsidRPr="00F471D7" w:rsidRDefault="00F471D7" w:rsidP="00F471D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 corréu João AUTOR(A) da Silva, por sua vez, alegou sua ilegitimidade passiva, sob o fundamento de que não era parte no contrato de locação e que o autor não tinha direito ao ressarcimento, pois o contrato não continha cláusula de vigência nem estava averbado na matrícula do imóvel. Argumentou, ainda, que as benfeitorias não valorizaram o imóvel e que inexiste enriquecimento sem causa de sua parte.</w:t>
      </w:r>
    </w:p>
    <w:p w:rsidR="00F471D7" w:rsidRPr="00F471D7" w:rsidRDefault="00F471D7" w:rsidP="00F471D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parcialmente procedentes os pedidos do autor, condenando a corré AUTOR(A). ao pagamento de R$ 83.877,81, a título de indenização pelas benfeitorias realizadas, montante corrigido monetariamente desde a propositura da ação e acrescido de juros de mora de 1% ao mês a partir da citação. Afastou, contudo, a responsabilidade de João AUTOR(A) da Silva, bem como os pedidos de indenização por danos morais e multa contratual.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DD1591" w:rsidRPr="00DD1591" w:rsidRDefault="00DD1591" w:rsidP="00DD1591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Inicialmente, quanto às preliminares suscitadas pelas partes, tenho que nenhuma deve ser acolhida. Isso porque a gravação ambiental juntada aos autos é prova lícita, conforme entendimento consolidado pelo STF e STJ, que admitem gravação realizada por um dos interlocutores sem o conhecimento do outro, desde que não envolva sigilo profissional ou invasão de privacidade.</w:t>
      </w:r>
    </w:p>
    <w:p w:rsidR="00DD1591" w:rsidRPr="00DD1591" w:rsidRDefault="00DD1591" w:rsidP="00DD1591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Além disso, a alegação de extemporaneidade da prova (gravação ambiental) não merece prosperar, pois a juntada posterior foi devidamente justificada pelo autor e corretamente aceita na sentença, sem prejuízo ao contraditório ou à ampla defesa.</w:t>
      </w:r>
    </w:p>
    <w:p w:rsidR="00DD1591" w:rsidRPr="00DD1591" w:rsidRDefault="00DD1591" w:rsidP="00DD1591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que tange à alegada falta de comprovação das benfeitorias e à cláusula de renúncia à indenização, trata-se de matéria de mérito, e não de questão processual. A sentença já analisou os documentos apresentados e reconheceu a realização das benfeitorias, bem como afastou a cláusula de renúncia, considerando que o rompimento do contrato ocorreu de forma injusta e antecipada, sem que o autor tivesse usufruído dos investimentos realizados no imóvel.</w:t>
      </w:r>
    </w:p>
    <w:p w:rsidR="007F6BE8" w:rsidRPr="007F6BE8" w:rsidRDefault="007F6BE8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Apreciadas e afastadas as preliminares, passo ao exame do mérito.</w:t>
      </w:r>
    </w:p>
    <w:p w:rsidR="007F6BE8" w:rsidRPr="007F6BE8" w:rsidRDefault="007F6BE8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controvérsia, para o autor, cinge-se à condenação solidária do corréu João AUTOR(A) da Silva, ao pagamento de indenização por danos morais e à aplicação da multa contratual integral prevista no contrato de locação.</w:t>
      </w:r>
    </w:p>
    <w:p w:rsidR="007F6BE8" w:rsidRPr="007F6BE8" w:rsidRDefault="007F6BE8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Já para o réu AUTOR(A)., a controvérsia reside na inexistência do dever de indenizar as benfeitorias realizadas pelo autor no imóvel locado, sob o argumento de que não houve autorização expressa para as obras, bem como na suposta precariedade dos documentos apresentados para comprovação dos valores despendidos.</w:t>
      </w:r>
    </w:p>
    <w:p w:rsidR="007F6BE8" w:rsidRDefault="007F6BE8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Dessa forma, passo à análise individualizada dos recursos.</w:t>
      </w:r>
    </w:p>
    <w:p w:rsidR="00E77767" w:rsidRPr="00E77767" w:rsidRDefault="00E77767" w:rsidP="00E7776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tocante ao recurso adesivo interposto pelo autor, não assiste razão quanto ao pedido de condenação solidária do corréu João AUTOR(A) da Silva. Conforme bem pontuado na sentença, a relação jurídica locatícia foi estabelecida exclusivamente entre o autor e o AUTOR(A)., sem que houvesse cláusula de vigência registrada na matrícula do imóvel. Ainda que o adquirente tivesse conhecimento do contrato de locação, a ausência desse requisito afasta sua obrigação de indenizar eventuais benfeitorias realizadas pelo locatário, nos termos da Súmula 158 do AUTOR(A).</w:t>
      </w:r>
    </w:p>
    <w:p w:rsidR="00E77767" w:rsidRPr="00E77767" w:rsidRDefault="00E77767" w:rsidP="00E7776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Igualmente, não merece acolhimento o pedido de indenização por danos morais. Embora o rompimento antecipado do contrato tenha causado transtornos ao autor, tais fatos não ultrapassam a esfera do mero dissabor. A frustração de expectativas comerciais, por si só, não configura dano moral indenizável, especialmente quando ausente qualquer prova de violação à dignidade do locatário. Nos termos das Súmulas 282 do STF e 211 do STJ, é necessária a existência de uma consequência fática capaz de acarretar dor e sofrimento indenizável por sua gravidade, o que não se verifica no presente caso. Assim, mantém-se a sentença no ponto em que rejeitou esse pleito.</w:t>
      </w:r>
    </w:p>
    <w:p w:rsidR="00E77767" w:rsidRPr="00E77767" w:rsidRDefault="00E77767" w:rsidP="00E7776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que se refere à multa contratual, a pretensão do autor não merece acolhimento. Conforme dispõe o artigo 4º da Lei 8.245/91, a multa pela rescisão antecipada de contrato de locação deve ser proporcional ao período não cumprido, e sua exigibilidade decorre da iniciativa do locatário em encerrar o contrato antes do prazo ajustado.</w:t>
      </w:r>
    </w:p>
    <w:p w:rsidR="00E77767" w:rsidRPr="00E77767" w:rsidRDefault="00E77767" w:rsidP="00E7776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caso dos autos, contudo, restou demonstrado que a rescisão do contrato não decorreu da vontade do locatário, mas sim da alienação do imóvel pelo locador a terceiro, que impediu a continuidade da locação. Além disso, o autor não usufruiu do imóvel para fins lucrativos e sequer chegou a pagar qualquer aluguel, tendo apenas investido em benfeitorias. Dessa forma, não há fundamento legal para a imposição da multa contratual, razão pela qual deve ser mantida a sentença no ponto em que afastou essa penalidade.</w:t>
      </w:r>
    </w:p>
    <w:p w:rsidR="007F6BE8" w:rsidRDefault="00E77767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Passo, assim, à análise do recurso do réu.</w:t>
      </w:r>
    </w:p>
    <w:p w:rsidR="0011670E" w:rsidRPr="0011670E" w:rsidRDefault="0011670E" w:rsidP="0011670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principal insurgência do recorrente AUTOR(A). reside na condenação ao ressarcimento das benfeitorias realizadas pelo autor no imóvel locado. Sustenta que as obras não foram autorizadas formalmente, que a cláusula VIII do contrato exclui o direito à indenização e que os documentos apresentados pelo autor não comprovam de forma suficiente os gastos realizados. No entanto, a sentença corretamente reconheceu que a cláusula II, § 2º, do contrato permitia a realização de adequações no imóvel, e que o próprio representante do réu, conforme demonstrado pela gravação da reunião entre as partes, admitiu a responsabilidade pela restituição dos valores despendidos pelo autor.</w:t>
      </w:r>
    </w:p>
    <w:p w:rsidR="0011670E" w:rsidRPr="0011670E" w:rsidRDefault="0011670E" w:rsidP="0011670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Além disso, a prova documental corrobora a existência das benfeitorias e seus custos, sendo insuficientes as alegações genéricas do réu para afastar a condenação. O enriquecimento sem causa, vedado pelo ordenamento jurídico, restaria configurado caso o recorrente se aproveitasse das melhorias realizadas no imóvel sem qualquer contraprestação. Assim, mantém-se a condenação do réu ao pagamento de R$ 83.877,81, conforme determinado na sentença.</w:t>
      </w:r>
    </w:p>
    <w:p w:rsidR="00E77767" w:rsidRDefault="0011670E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que se refere às alegações de que as notas fiscais e recibos juntados pelo autor seriam posteriores à desocupação do imóvel, observa-se que a maior parte dos documentos se refere a despesas compatíveis com o período em que as obras foram executadas. Ainda que alguns comprovantes sejam datados após a saída do autor do imóvel, não há prova de que os serviços correspondentes não tenham sido efetivamente prestados durante a vigência da locação. Nos termos do artigo 373, II, do Código de AUTOR(A), cabia ao réu o ônus de demonstrar a invalidade dos documentos apresentados pelo autor, ônus do qual não se desincumbiu. Não é outro o entendimento desta Corte:</w:t>
      </w:r>
    </w:p>
    <w:p w:rsidR="0011670E" w:rsidRDefault="0011670E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“Locação comercial – Ação que visa rescisão do contrato e indenização por danos materiais – Sentença de parcial procedência – Impedimento de acesso ao imóvel caracterizou exercício arbitrário das próprias razões – Descabida a retenção por incorporação de benfeitorias, a fim de evitar enriquecimento ilícito – Reembolso das despesas comprovadas com reformas é devido – Inexistência de assinatura em recibo que não invalida a prova documental – Ônus da prova de fato extintivo, modificativo ou impeditivo não cumprido – Desprovimento da apelação da locadora ré.” (TJSP; Apelação Cível 0000000-00.0000.0.00.0000; Relator (a): Mário Daccache; Órgão Julgador: 29ª Câmara de AUTOR(A); Foro de São José dos Campos - [VARA]; Data do Julgamento: 28/02/2025; Data de Registro: 28/02/2025)</w:t>
      </w:r>
    </w:p>
    <w:p w:rsidR="0011670E" w:rsidRDefault="0011670E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“APELAÇÃO. Comodato. Ação de indenização por benfeitoria, julgada procedente, em parte. Recurso do réu. Comodato e não locação. Benfeitorias úteis erigidas pela autora, de boa-fé, no imóvel do réu. Indenização devida para evitar o enriquecimento sem causa do beneficiário. Inteligência do art. 1.219 do Código Civil. Valor arbitrado com amparo em prova idônea, à míngua de contraprova apta a desconstituí-la. Sentença mantida. RECURSO NÃO PROVIDO, majorados os honorários advocatícios sucumbenciais devidos pelo réu, nos termos do art. 85, § 11, do Código de AUTOR(A).” (TJSP; Apelação Cível 0000000-00.0000.0.00.0000; Relator (a): João Casali; Órgão Julgador: 26ª Câmara de AUTOR(A); Foro de São José dos Campos - [VARA]; Data do Julgamento: 28/02/2025; Data de Registro: 28/02/2025)</w:t>
      </w:r>
    </w:p>
    <w:p w:rsidR="007F6BE8" w:rsidRPr="007F6BE8" w:rsidRDefault="0011670E" w:rsidP="007F6BE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hipótese, portanto, é de manutenção da r. sentença por seus próprios e bem lançados fundamentos jurídicos.</w:t>
      </w:r>
    </w:p>
    <w:p w:rsidR="00D14C33" w:rsidRPr="005738D4" w:rsidRDefault="000F6337" w:rsidP="0011670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Diante do resultado do recurso, de rigor a majoração dos honorários advocatícios devidos em sede recursal, que fixo em 12% do valor atualizado dos pedidos autorais rejeitados para o corréu e 12% do valor atualizado da causa para o autor.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aos recursos.</w:t>
      </w:r>
    </w:p>
    <w:p w:rsidR="00D14C33" w:rsidRPr="00324889" w:rsidRDefault="00D14C33" w:rsidP="0011670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1B1C" w:rsidRDefault="00BE1B1C">
      <w:pPr>
        <w:spacing w:after="0" w:line="240" w:lineRule="auto"/>
      </w:pPr>
      <w:r>
        <w:separator/>
      </w:r>
    </w:p>
  </w:endnote>
  <w:endnote w:type="continuationSeparator" w:id="0">
    <w:p w:rsidR="00BE1B1C" w:rsidRDefault="00B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BE1B1C">
      <w:t xml:space="preserve">s - </w:t>
    </w:r>
    <w:r w:rsidR="00BE1B1C">
      <w:fldChar w:fldCharType="begin"/>
    </w:r>
    <w:r w:rsidR="00BE1B1C">
      <w:instrText>PAGE   \* MERGEFORMAT</w:instrText>
    </w:r>
    <w:r w:rsidR="00BE1B1C">
      <w:fldChar w:fldCharType="separate"/>
    </w:r>
    <w:r w:rsidR="00BE1B1C">
      <w:t>2</w:t>
    </w:r>
    <w:r w:rsidR="00BE1B1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1B1C" w:rsidRDefault="00BE1B1C">
      <w:pPr>
        <w:spacing w:after="0" w:line="240" w:lineRule="auto"/>
      </w:pPr>
      <w:r>
        <w:separator/>
      </w:r>
    </w:p>
  </w:footnote>
  <w:footnote w:type="continuationSeparator" w:id="0">
    <w:p w:rsidR="00BE1B1C" w:rsidRDefault="00BE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E1B1C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BE1B1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BE1B1C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BE1B1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B778C"/>
    <w:rsid w:val="000F6337"/>
    <w:rsid w:val="0011670E"/>
    <w:rsid w:val="00157738"/>
    <w:rsid w:val="00171308"/>
    <w:rsid w:val="002A770A"/>
    <w:rsid w:val="002C6B2B"/>
    <w:rsid w:val="002E6876"/>
    <w:rsid w:val="003A2623"/>
    <w:rsid w:val="003F050A"/>
    <w:rsid w:val="003F6993"/>
    <w:rsid w:val="00412A13"/>
    <w:rsid w:val="00432B56"/>
    <w:rsid w:val="004A3192"/>
    <w:rsid w:val="00540190"/>
    <w:rsid w:val="007B4EF3"/>
    <w:rsid w:val="007F6BE8"/>
    <w:rsid w:val="009379DB"/>
    <w:rsid w:val="009707EB"/>
    <w:rsid w:val="00986E92"/>
    <w:rsid w:val="00993E7A"/>
    <w:rsid w:val="009B41D1"/>
    <w:rsid w:val="009C1EB1"/>
    <w:rsid w:val="00A628E8"/>
    <w:rsid w:val="00B2724A"/>
    <w:rsid w:val="00B8022C"/>
    <w:rsid w:val="00BA6F3E"/>
    <w:rsid w:val="00BE1B1C"/>
    <w:rsid w:val="00C7082C"/>
    <w:rsid w:val="00C853AF"/>
    <w:rsid w:val="00CA0813"/>
    <w:rsid w:val="00CB7228"/>
    <w:rsid w:val="00D14C33"/>
    <w:rsid w:val="00D778B4"/>
    <w:rsid w:val="00DD1591"/>
    <w:rsid w:val="00E77767"/>
    <w:rsid w:val="00E93BFB"/>
    <w:rsid w:val="00EA0325"/>
    <w:rsid w:val="00EA08CF"/>
    <w:rsid w:val="00EC296C"/>
    <w:rsid w:val="00F471D7"/>
    <w:rsid w:val="00FB2530"/>
    <w:rsid w:val="00FC16A4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DC40D06-209B-41F3-8817-4236E266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6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2312</Words>
  <Characters>12489</Characters>
  <Application>Microsoft Office Word</Application>
  <DocSecurity>4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