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4C33" w:rsidRDefault="00D14C33" w:rsidP="00D14C3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APELAÇÃO Nº 0000000-00.0000.0.00.0000</w:t>
      </w:r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 xml:space="preserve">COMARCA DE TATUÍ – 1ª VARA CÍVEL </w:t>
      </w:r>
    </w:p>
    <w:p w:rsidR="00D14C33" w:rsidRPr="006A6130" w:rsidRDefault="00D14C33" w:rsidP="00D14C33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APELANTES: É T. G. S. E OUTRO</w:t>
      </w:r>
    </w:p>
    <w:p w:rsidR="00D14C33" w:rsidRPr="00853E15" w:rsidRDefault="00D14C33" w:rsidP="00D14C33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APELADOS: F. A. B. e O.</w:t>
      </w:r>
    </w:p>
    <w:p w:rsidR="00662BE7" w:rsidRPr="00662BE7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>
        <w:t>JUIZ PROLATOR: AUTOR(A) de AUTOR(A)</w:t>
        <w:br/>
      </w:r>
    </w:p>
    <w:p w:rsidR="00D14C33" w:rsidRDefault="00D14C33" w:rsidP="00D14C3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VOTO Nº 11.219</w:t>
      </w:r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7A68A5" w:rsidRPr="007A68A5" w:rsidRDefault="007A68A5" w:rsidP="007A68A5">
      <w:pPr>
        <w:pStyle w:val="Recuodecorpodetexto"/>
        <w:rPr>
          <w:rFonts w:ascii="Arial" w:hAnsi="Arial" w:cs="Arial"/>
          <w:sz w:val="22"/>
          <w:szCs w:val="22"/>
        </w:rPr>
      </w:pPr>
      <w:r>
        <w:t>APELAÇÃO – EMBARGOS DE TERCEIRO – Sentença de procedência – Inconformismo da parte ré – Pleito de concessão de gratuidade de justiça – Indeferimento – Determinado o recolhimento do preparo – Inércia da parte recorrente – Deserção configurada, nos termos do artigo 1.007, §2º, do Código de AUTOR(A) – Recurso não conhecido.</w:t>
      </w:r>
    </w:p>
    <w:p w:rsidR="00D14C33" w:rsidRPr="001846F2" w:rsidRDefault="00D14C33" w:rsidP="00D14C33">
      <w:pPr>
        <w:pStyle w:val="Recuodecorpodetexto"/>
        <w:rPr>
          <w:rFonts w:ascii="Arial" w:hAnsi="Arial" w:cs="Arial"/>
          <w:sz w:val="22"/>
          <w:szCs w:val="22"/>
        </w:rPr>
      </w:pPr>
      <w:r/>
    </w:p>
    <w:p w:rsidR="00D14C33" w:rsidRDefault="00D14C33" w:rsidP="00D14C33">
      <w:pPr>
        <w:pStyle w:val="Recuodecorpodetexto"/>
        <w:rPr>
          <w:rFonts w:ascii="Arial" w:hAnsi="Arial" w:cs="Arial"/>
          <w:sz w:val="22"/>
          <w:szCs w:val="22"/>
        </w:rPr>
      </w:pPr>
      <w:r/>
    </w:p>
    <w:p w:rsidR="00D14C33" w:rsidRPr="00A55649" w:rsidRDefault="00D14C33" w:rsidP="00D14C33">
      <w:pPr>
        <w:pStyle w:val="Recuodecorpodetexto"/>
        <w:rPr>
          <w:rFonts w:ascii="Arial" w:hAnsi="Arial" w:cs="Arial"/>
          <w:sz w:val="22"/>
          <w:szCs w:val="22"/>
        </w:rPr>
      </w:pPr>
      <w:r/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>
        <w:tab/>
      </w:r>
    </w:p>
    <w:p w:rsidR="00D14C33" w:rsidRPr="00324889" w:rsidRDefault="00D14C33" w:rsidP="00D14C33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Vistos.</w:t>
      </w:r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393C82" w:rsidRPr="00393C82" w:rsidRDefault="00393C82" w:rsidP="00393C82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Trata-se de embargos de terceiro, com pedido de efeito suspensivo, ajuizados por F. A. B. e O. em face de É. T. G. S. e outro, julgados procedentes pela r. sentença de fls. 244/258, cujo relatório se adota.</w:t>
      </w:r>
    </w:p>
    <w:p w:rsidR="00393C82" w:rsidRPr="00393C82" w:rsidRDefault="00393C82" w:rsidP="00393C82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Inconformada, a parte ré interpôs recurso de apelação (fls. 266/272), visando à reforma do julgado.</w:t>
      </w:r>
    </w:p>
    <w:p w:rsidR="00CA2003" w:rsidRDefault="00393C82" w:rsidP="00393C82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Na peça recursal, a parte recorrente requereu os benefícios da gratuidade da justiça. Contudo, instada a comprovar a alegada hipossuficiência, manteve-se inerte (fl. 289).</w:t>
      </w:r>
    </w:p>
    <w:p w:rsidR="00393C82" w:rsidRDefault="00CA2003" w:rsidP="00393C82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Em razão disso, a gratuidade pleiteada foi indeferida (fl. 293) e foi concedido o prazo derradeiro de 5 dias para o recolhimento integral do preparo recursal.</w:t>
      </w:r>
    </w:p>
    <w:p w:rsidR="00393C82" w:rsidRDefault="00CA2003" w:rsidP="00393C82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O prazo decorreu sem qualquer manifestação (fl. 295).</w:t>
      </w:r>
    </w:p>
    <w:p w:rsidR="003838FC" w:rsidRDefault="003838FC" w:rsidP="003838FC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>
        <w:t>Por ocasião da distribuição, não houve oposição ao julgamento virtual.</w:t>
      </w:r>
    </w:p>
    <w:p w:rsidR="003838FC" w:rsidRPr="00393C82" w:rsidRDefault="003838FC" w:rsidP="00393C82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/>
    </w:p>
    <w:p w:rsidR="00D14C33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É o relatório.</w:t>
      </w:r>
    </w:p>
    <w:p w:rsidR="003838FC" w:rsidRPr="004F7D33" w:rsidRDefault="003838FC" w:rsidP="003838FC">
      <w:pPr>
        <w:suppressAutoHyphens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A hipótese é de não conhecimento do recurso em razão da deserção.</w:t>
      </w:r>
    </w:p>
    <w:p w:rsidR="003838FC" w:rsidRDefault="003838FC" w:rsidP="003838FC">
      <w:pPr>
        <w:suppressAutoHyphens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Com efeito, indeferida a gratuidade de justiça pleiteada, e determinado o recolhimento do preparo recursal, no despacho de fl. 293, o recorrente quedou-se inerte.</w:t>
      </w:r>
    </w:p>
    <w:p w:rsidR="003838FC" w:rsidRPr="00FC3218" w:rsidRDefault="003838FC" w:rsidP="003838FC">
      <w:pPr>
        <w:suppressAutoHyphens/>
        <w:spacing w:after="0" w:line="360" w:lineRule="auto"/>
        <w:ind w:firstLine="1418"/>
        <w:jc w:val="both"/>
        <w:rPr>
          <w:rFonts w:ascii="Arial" w:hAnsi="Arial" w:cs="Arial"/>
          <w:b/>
          <w:sz w:val="24"/>
          <w:szCs w:val="24"/>
        </w:rPr>
      </w:pPr>
      <w:r>
        <w:t>Assim, tendo em vista a inércia do apelante diante da oportunidade concedida para o recolhimento do preparo recursal, ante o indeferimento do pleito de gratuidade de justiça anteriormente formulado, é medida de rigor o reconhecimento da deserção, nos termos do artigo 1.007, §2º, do Código de AUTOR(A).</w:t>
      </w:r>
    </w:p>
    <w:p w:rsidR="003838FC" w:rsidRDefault="003838FC" w:rsidP="003838FC">
      <w:pPr>
        <w:pStyle w:val="Recuodecorpodetexto"/>
        <w:suppressAutoHyphens/>
        <w:ind w:left="0" w:firstLine="1418"/>
        <w:rPr>
          <w:rFonts w:ascii="Arial" w:hAnsi="Arial" w:cs="Arial"/>
          <w:b w:val="0"/>
          <w:sz w:val="24"/>
          <w:szCs w:val="24"/>
        </w:rPr>
      </w:pPr>
      <w:r>
        <w:t xml:space="preserve">Trata-se o preparo de requisito de admissibilidade recursal que, não cumprido, impede o conhecimento do recurso. </w:t>
      </w:r>
    </w:p>
    <w:p w:rsidR="003838FC" w:rsidRDefault="003838FC" w:rsidP="003838FC">
      <w:pPr>
        <w:pStyle w:val="Recuodecorpodetexto"/>
        <w:suppressAutoHyphens/>
        <w:ind w:left="0" w:firstLine="1418"/>
        <w:rPr>
          <w:rFonts w:ascii="Arial" w:hAnsi="Arial" w:cs="Arial"/>
          <w:b w:val="0"/>
          <w:sz w:val="24"/>
          <w:szCs w:val="24"/>
        </w:rPr>
      </w:pPr>
      <w:r>
        <w:t>A propósito:</w:t>
      </w:r>
    </w:p>
    <w:p w:rsidR="003838FC" w:rsidRPr="00FC3218" w:rsidRDefault="003838FC" w:rsidP="003838FC">
      <w:pPr>
        <w:pStyle w:val="Recuodecorpodetexto"/>
        <w:suppressAutoHyphens/>
        <w:ind w:left="0" w:firstLine="1418"/>
        <w:rPr>
          <w:rFonts w:ascii="Arial" w:hAnsi="Arial" w:cs="Arial"/>
          <w:b w:val="0"/>
          <w:sz w:val="24"/>
          <w:szCs w:val="24"/>
        </w:rPr>
      </w:pPr>
      <w:r/>
    </w:p>
    <w:p w:rsidR="003838FC" w:rsidRDefault="003838FC" w:rsidP="003838FC">
      <w:pPr>
        <w:suppressAutoHyphens/>
        <w:spacing w:after="0" w:line="360" w:lineRule="auto"/>
        <w:ind w:firstLine="1418"/>
        <w:jc w:val="both"/>
        <w:rPr>
          <w:rFonts w:ascii="Arial" w:hAnsi="Arial"/>
          <w:bCs/>
          <w:i/>
          <w:iCs/>
        </w:rPr>
      </w:pPr>
      <w:r>
        <w:t>“Apelação – Requisito de admissibilidade recurso não satisfeito – Preparo – indeferimento da gratuidade de justiça e intimação para complementação do recolhimento, sob pena de deserção – Não atendimento – Deserção caracterizada – Recurso não conhecido.” (TJSP; Apelação Cível 0000000-00.0000.0.00.0000; Relator (a): Mário Daccache; Órgão Julgador: 29ª Câmara de AUTOR(A); Foro de Andradina - 1ª Vara; Data do Julgamento: 31/08/2022; Data de Registro: 31/08/2022).</w:t>
      </w:r>
    </w:p>
    <w:p w:rsidR="003838FC" w:rsidRPr="008C1E56" w:rsidRDefault="003838FC" w:rsidP="003838FC">
      <w:pPr>
        <w:suppressAutoHyphens/>
        <w:spacing w:after="0" w:line="360" w:lineRule="auto"/>
        <w:ind w:firstLine="1418"/>
        <w:jc w:val="both"/>
        <w:rPr>
          <w:rFonts w:ascii="Arial" w:hAnsi="Arial"/>
          <w:bCs/>
          <w:i/>
          <w:iCs/>
        </w:rPr>
      </w:pPr>
      <w:r/>
    </w:p>
    <w:p w:rsidR="003838FC" w:rsidRPr="004F7D33" w:rsidRDefault="003838FC" w:rsidP="003838FC">
      <w:pPr>
        <w:suppressAutoHyphens/>
        <w:spacing w:after="0" w:line="360" w:lineRule="auto"/>
        <w:ind w:firstLine="1418"/>
        <w:jc w:val="both"/>
        <w:rPr>
          <w:rFonts w:ascii="Arial" w:hAnsi="Arial"/>
          <w:bCs/>
          <w:sz w:val="24"/>
          <w:szCs w:val="24"/>
        </w:rPr>
      </w:pPr>
      <w:r>
        <w:t>Assim, a hipótese é de não conhecimento do recurso pela deserção, nos termos do artigo 1.007, §2º, do Código de AUTOR(A).</w:t>
      </w:r>
    </w:p>
    <w:p w:rsidR="003838FC" w:rsidRPr="005B76F6" w:rsidRDefault="003838FC" w:rsidP="003838FC">
      <w:pPr>
        <w:suppressAutoHyphens/>
        <w:spacing w:after="0" w:line="360" w:lineRule="auto"/>
        <w:ind w:firstLine="1418"/>
        <w:jc w:val="both"/>
        <w:rPr>
          <w:rFonts w:ascii="Arial" w:hAnsi="Arial"/>
          <w:bCs/>
          <w:sz w:val="24"/>
          <w:szCs w:val="24"/>
        </w:rPr>
      </w:pPr>
      <w:r>
        <w:t>Considera-se prequestionada a matéria constitucional e infraconstitucional, desnecessária a citação numérica dos dispositivos legais, bastando a decisão da questão posta (EDROMS 18205/SP, Min. AUTOR(A)).</w:t>
      </w:r>
    </w:p>
    <w:p w:rsidR="003838FC" w:rsidRPr="00713BE7" w:rsidRDefault="003838FC" w:rsidP="003838FC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3838FC" w:rsidRDefault="003838FC" w:rsidP="003838FC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Nestes termos, pelo meu voto, não conheço do recurso.</w:t>
      </w:r>
    </w:p>
    <w:p w:rsidR="00D14C33" w:rsidRDefault="00D14C33" w:rsidP="00D14C33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D14C33" w:rsidRPr="00324889" w:rsidRDefault="00D14C33" w:rsidP="00D14C33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  <w:szCs w:val="24"/>
        </w:rPr>
      </w:pPr>
      <w:r/>
    </w:p>
    <w:p w:rsidR="00D14C33" w:rsidRPr="00324889" w:rsidRDefault="00D14C33" w:rsidP="00D14C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>JOSÉ AUGUSTO GENOFRE MARTINS</w:t>
      </w:r>
    </w:p>
    <w:p w:rsidR="00D14C33" w:rsidRDefault="00D14C33" w:rsidP="00D14C33">
      <w:pPr>
        <w:spacing w:after="0" w:line="360" w:lineRule="auto"/>
        <w:jc w:val="center"/>
      </w:pPr>
      <w:r>
        <w:t>Relator</w:t>
        <w:tab/>
      </w:r>
    </w:p>
    <w:sectPr w:rsidR="00D14C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D5FAC" w:rsidRDefault="004D5FAC">
      <w:pPr>
        <w:spacing w:after="0" w:line="240" w:lineRule="auto"/>
      </w:pPr>
      <w:r>
        <w:separator/>
      </w:r>
    </w:p>
  </w:endnote>
  <w:endnote w:type="continuationSeparator" w:id="0">
    <w:p w:rsidR="004D5FAC" w:rsidRDefault="004D5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2724A" w:rsidRDefault="00993E7A">
    <w:pPr>
      <w:pStyle w:val="Rodap"/>
      <w:jc w:val="right"/>
    </w:pPr>
    <w:r>
      <w:t>d</w:t>
    </w:r>
    <w:r w:rsidR="004D5FAC">
      <w:t xml:space="preserve">s - </w:t>
    </w:r>
    <w:r w:rsidR="004D5FAC">
      <w:fldChar w:fldCharType="begin"/>
    </w:r>
    <w:r w:rsidR="004D5FAC">
      <w:instrText>PAGE   \* MERGEFORMAT</w:instrText>
    </w:r>
    <w:r w:rsidR="004D5FAC">
      <w:fldChar w:fldCharType="separate"/>
    </w:r>
    <w:r w:rsidR="004D5FAC">
      <w:t>2</w:t>
    </w:r>
    <w:r w:rsidR="004D5FAC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D5FAC" w:rsidRDefault="004D5FAC">
      <w:pPr>
        <w:spacing w:after="0" w:line="240" w:lineRule="auto"/>
      </w:pPr>
      <w:r>
        <w:separator/>
      </w:r>
    </w:p>
  </w:footnote>
  <w:footnote w:type="continuationSeparator" w:id="0">
    <w:p w:rsidR="004D5FAC" w:rsidRDefault="004D5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2724A" w:rsidRPr="000665B8" w:rsidRDefault="00B2724A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B2724A" w:rsidRPr="000665B8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2724A" w:rsidRPr="000665B8" w:rsidRDefault="004D5FAC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EC296C" w:rsidRPr="00D0426E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112.5pt;height:64.5pt;visibility:visible">
                <v:imagedata r:id="rId1" o:title="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2724A" w:rsidRPr="000665B8" w:rsidRDefault="00B2724A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B2724A" w:rsidRPr="000665B8" w:rsidRDefault="004D5FAC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B2724A" w:rsidRPr="000665B8" w:rsidRDefault="004D5FAC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B2724A" w:rsidRDefault="004D5FAC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>
            <w:rPr>
              <w:rFonts w:ascii="Times New Roman" w:hAnsi="Times New Roman"/>
              <w:b/>
            </w:rPr>
            <w:t>29</w:t>
          </w:r>
          <w:r w:rsidRPr="000665B8">
            <w:rPr>
              <w:rFonts w:ascii="Times New Roman" w:hAnsi="Times New Roman"/>
              <w:b/>
            </w:rPr>
            <w:t>ª Câmara</w:t>
          </w:r>
        </w:p>
        <w:p w:rsidR="00B2724A" w:rsidRPr="000665B8" w:rsidRDefault="00B2724A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B2724A" w:rsidRDefault="00B2724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778C"/>
    <w:rsid w:val="000B778C"/>
    <w:rsid w:val="000F6337"/>
    <w:rsid w:val="00157738"/>
    <w:rsid w:val="00171308"/>
    <w:rsid w:val="00200AB9"/>
    <w:rsid w:val="003838FC"/>
    <w:rsid w:val="00393C82"/>
    <w:rsid w:val="003F050A"/>
    <w:rsid w:val="00410231"/>
    <w:rsid w:val="00432B56"/>
    <w:rsid w:val="00451C8E"/>
    <w:rsid w:val="004D5FAC"/>
    <w:rsid w:val="00505EA3"/>
    <w:rsid w:val="00540190"/>
    <w:rsid w:val="00636596"/>
    <w:rsid w:val="00662BE7"/>
    <w:rsid w:val="007A68A5"/>
    <w:rsid w:val="007B4EF3"/>
    <w:rsid w:val="009707EB"/>
    <w:rsid w:val="00986E92"/>
    <w:rsid w:val="00993E7A"/>
    <w:rsid w:val="009B41D1"/>
    <w:rsid w:val="00A628E8"/>
    <w:rsid w:val="00B2724A"/>
    <w:rsid w:val="00CA0813"/>
    <w:rsid w:val="00CA2003"/>
    <w:rsid w:val="00CB1675"/>
    <w:rsid w:val="00D14C33"/>
    <w:rsid w:val="00D778B4"/>
    <w:rsid w:val="00E93BFB"/>
    <w:rsid w:val="00EA0325"/>
    <w:rsid w:val="00EA08CF"/>
    <w:rsid w:val="00EC296C"/>
    <w:rsid w:val="00F440F5"/>
    <w:rsid w:val="00FB2530"/>
    <w:rsid w:val="00FE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C50ECF9A-E5BE-41A9-A9AB-4B8F8E1C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C33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14C3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14C3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14C3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14C33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D14C33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D14C33"/>
    <w:rPr>
      <w:rFonts w:ascii="Times New Roman" w:eastAsia="Times New Roman" w:hAnsi="Times New Roman" w:cs="Times New Roman"/>
      <w:b/>
      <w:i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5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dediv\Downloads\AP29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AP29.dot</Template>
  <TotalTime>0</TotalTime>
  <Pages>3</Pages>
  <Words>453</Words>
  <Characters>2452</Characters>
  <Application>Microsoft Office Word</Application>
  <DocSecurity>4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Santos</dc:creator>
  <cp:keywords/>
  <dc:description/>
  <cp:lastModifiedBy>DENISE OLIVEIRA DOS SANTOS</cp:lastModifiedBy>
  <cp:revision>2</cp:revision>
  <dcterms:created xsi:type="dcterms:W3CDTF">2025-06-11T23:24:00Z</dcterms:created>
  <dcterms:modified xsi:type="dcterms:W3CDTF">2025-06-11T23:24:00Z</dcterms:modified>
</cp:coreProperties>
</file>