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31C5C" w:rsidRDefault="00D31C5C" w:rsidP="00DD0C7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t>APELAÇÃO Nº: 0000000-00.0000.0.00.0000</w:t>
      </w:r>
    </w:p>
    <w:p w:rsidR="00D31C5C" w:rsidRPr="00D31C5C" w:rsidRDefault="00D31C5C" w:rsidP="00DD0C7F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t>COMARCA DE ITUPEVA – VARA ÚNICA</w:t>
      </w:r>
    </w:p>
    <w:p w:rsidR="00D31C5C" w:rsidRPr="00121DFE" w:rsidRDefault="00D31C5C" w:rsidP="00DD0C7F">
      <w:pPr>
        <w:pStyle w:val="Ttulo3"/>
        <w:jc w:val="both"/>
        <w:rPr>
          <w:rFonts w:ascii="Arial" w:hAnsi="Arial" w:cs="Arial"/>
          <w:b w:val="0"/>
          <w:i w:val="0"/>
          <w:szCs w:val="24"/>
        </w:rPr>
      </w:pPr>
      <w:r>
        <w:t>APELANTE: CARLA UILMA PEREIRA</w:t>
      </w:r>
    </w:p>
    <w:p w:rsidR="00D31C5C" w:rsidRPr="00D31C5C" w:rsidRDefault="00D31C5C" w:rsidP="00DD0C7F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t xml:space="preserve">APELADO: TOKIO MARINE SEGURADORA S/A </w:t>
      </w:r>
    </w:p>
    <w:p w:rsidR="00D31C5C" w:rsidRPr="00121DFE" w:rsidRDefault="00D31C5C" w:rsidP="00DD0C7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t>JUIZ DE DIREITO: PABLO RODRIGO PALARO DE CAMARGO</w:t>
      </w:r>
    </w:p>
    <w:p w:rsidR="00D31C5C" w:rsidRPr="00121DFE" w:rsidRDefault="00D31C5C" w:rsidP="00DD0C7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t xml:space="preserve"> Nº: 8183</w:t>
      </w:r>
    </w:p>
    <w:p w:rsidR="00D31C5C" w:rsidRPr="00121DFE" w:rsidRDefault="00D31C5C" w:rsidP="009F1D0B">
      <w:pPr>
        <w:pStyle w:val="Recuodecorpodetexto2"/>
        <w:ind w:left="0"/>
        <w:rPr>
          <w:rFonts w:ascii="Arial" w:hAnsi="Arial" w:cs="Arial"/>
          <w:i/>
          <w:szCs w:val="24"/>
        </w:rPr>
      </w:pPr>
      <w:r/>
    </w:p>
    <w:p w:rsidR="00D31C5C" w:rsidRPr="00121DFE" w:rsidRDefault="00D31C5C" w:rsidP="00DD0C7F">
      <w:pPr>
        <w:pStyle w:val="Recuodecorpodetexto2"/>
        <w:ind w:left="0"/>
        <w:rPr>
          <w:rFonts w:ascii="Arial" w:hAnsi="Arial" w:cs="Arial"/>
          <w:i/>
          <w:szCs w:val="24"/>
        </w:rPr>
      </w:pPr>
      <w:r/>
    </w:p>
    <w:p w:rsidR="00D31C5C" w:rsidRPr="00121DFE" w:rsidRDefault="00D31C5C" w:rsidP="00DD0C7F">
      <w:pPr>
        <w:pStyle w:val="Pr-formataoHTML"/>
        <w:shd w:val="clear" w:color="auto" w:fill="FFFFFF"/>
        <w:spacing w:line="360" w:lineRule="auto"/>
        <w:ind w:left="2127"/>
        <w:jc w:val="both"/>
        <w:textAlignment w:val="top"/>
        <w:rPr>
          <w:rFonts w:ascii="Arial" w:hAnsi="Arial" w:cs="Arial"/>
          <w:b/>
          <w:sz w:val="22"/>
          <w:szCs w:val="22"/>
        </w:rPr>
      </w:pPr>
      <w:r>
        <w:t xml:space="preserve">SEGURO DE AUTOMÓVEL – Ação indenizatória movida pela segurada, julgada improcedente – Colisão na parte traseira do automóvel – Alegação da autora de que o veículo segurado teria sido “fechado” pelo caminhão não restou comprovada – Relatório da ocorrência aponta que o condutor se recusou realizar teste do etilômetro e apresentava hálito etílico – Estado de embriaguez caracterizado, presente nexo de causalidade com o sinistro – Previsão contratual expressa quanto à exclusão de responsabilidade da seguradora no caso de embriaguez do condutor – Disposição contratual lícita, que encontra respaldo no art. 768 do CC - A bebida alcóolica, como é sabido, reduz o discernimento, os atos reflexos e o próprio processamento de informações no cérebro, de modo que aquele que a ingere torna-se menos apto a dirigir, aumentando sensivelmente o risco de o sinistro acontecer - Sentença mantida pelos seus próprios fundamentos – Recurso desprovido. </w:t>
      </w:r>
    </w:p>
    <w:p w:rsidR="00D31C5C" w:rsidRPr="00121DFE" w:rsidRDefault="00D31C5C" w:rsidP="00DD0C7F">
      <w:pPr>
        <w:pStyle w:val="Recuodecorpodetexto2"/>
        <w:rPr>
          <w:rFonts w:ascii="Arial" w:hAnsi="Arial" w:cs="Arial"/>
          <w:i/>
          <w:szCs w:val="24"/>
        </w:rPr>
      </w:pPr>
      <w:r/>
    </w:p>
    <w:p w:rsidR="009F1D0B" w:rsidRPr="00121DFE" w:rsidRDefault="009F1D0B" w:rsidP="00305B1C">
      <w:pPr>
        <w:pStyle w:val="Recuodecorpodetexto2"/>
        <w:ind w:left="0"/>
        <w:rPr>
          <w:rFonts w:ascii="Arial" w:hAnsi="Arial" w:cs="Arial"/>
          <w:i/>
          <w:szCs w:val="24"/>
        </w:rPr>
      </w:pPr>
      <w:r/>
    </w:p>
    <w:p w:rsidR="00305B1C" w:rsidRDefault="00D31C5C" w:rsidP="001E0B0B">
      <w:pPr>
        <w:pStyle w:val="Recuodecorpodetexto"/>
        <w:spacing w:line="360" w:lineRule="auto"/>
        <w:ind w:left="708" w:firstLine="708"/>
        <w:rPr>
          <w:rFonts w:ascii="Arial" w:hAnsi="Arial" w:cs="Arial"/>
          <w:b/>
          <w:szCs w:val="24"/>
        </w:rPr>
      </w:pPr>
      <w:r>
        <w:t>Vistos.</w:t>
      </w:r>
    </w:p>
    <w:p w:rsidR="009F1D0B" w:rsidRDefault="009F1D0B" w:rsidP="009F1D0B">
      <w:pPr>
        <w:pStyle w:val="Recuodecorpodetexto"/>
        <w:spacing w:line="360" w:lineRule="auto"/>
        <w:ind w:firstLine="2127"/>
        <w:rPr>
          <w:rFonts w:ascii="Arial" w:hAnsi="Arial" w:cs="Arial"/>
          <w:b/>
          <w:szCs w:val="24"/>
        </w:rPr>
      </w:pPr>
      <w:r/>
    </w:p>
    <w:p w:rsidR="00003297" w:rsidRPr="009F1D0B" w:rsidRDefault="00003297" w:rsidP="009F1D0B">
      <w:pPr>
        <w:pStyle w:val="Recuodecorpodetexto"/>
        <w:spacing w:line="360" w:lineRule="auto"/>
        <w:ind w:firstLine="2127"/>
        <w:rPr>
          <w:rFonts w:ascii="Arial" w:hAnsi="Arial" w:cs="Arial"/>
          <w:b/>
          <w:szCs w:val="24"/>
        </w:rPr>
      </w:pPr>
      <w:r/>
    </w:p>
    <w:p w:rsidR="00D31C5C" w:rsidRPr="00121DFE" w:rsidRDefault="00D31C5C" w:rsidP="009F1D0B">
      <w:pPr>
        <w:pStyle w:val="Recuodecorpodetexto"/>
        <w:spacing w:line="360" w:lineRule="auto"/>
        <w:ind w:firstLine="1418"/>
        <w:rPr>
          <w:rFonts w:ascii="Arial" w:hAnsi="Arial" w:cs="Arial"/>
          <w:szCs w:val="24"/>
        </w:rPr>
      </w:pPr>
      <w:r>
        <w:t>Trata-se de recurso de  interposto por AUTOR(A), junto aos  da “ação ordinária de indenização por danos materiais e morais”, proposta em face de AUTOR(A) S/A, a qual foi julgada improcedente. A improcedência do pedido se fundou no reconhecimento da licitude da conduta da seguradora em recusar o pagamento de indenização proveniente de contrato de seguro, em razão do agravamento do risco perpetrado pela segurada. Diante da sucumbência, a autora foi condenada ao pagamento de custas, despesas processuais e honorários advocatícios, arbitrados em 10% sobre o valor atualizado da causa, conforme r.  de fls. 282/286,   se adota.</w:t>
      </w:r>
    </w:p>
    <w:p w:rsidR="00D31C5C" w:rsidRPr="00121DFE" w:rsidRDefault="00D31C5C" w:rsidP="009F1D0B">
      <w:pPr>
        <w:pStyle w:val="Recuodecorpodetexto"/>
        <w:spacing w:line="360" w:lineRule="auto"/>
        <w:ind w:firstLine="1418"/>
        <w:rPr>
          <w:rFonts w:ascii="Arial" w:hAnsi="Arial" w:cs="Arial"/>
          <w:szCs w:val="24"/>
        </w:rPr>
      </w:pPr>
      <w:r>
        <w:t xml:space="preserve">Inconformada, apela a autora (fls. 289/296). Aduz que não deve prosperar a condenação ao pagamento de honorários e às custas processuais, porquanto é beneficiária da gratuidade judiciária. No mérito, sustenta que no Boletim de Ocorrência elaborado não consta que o condutor do veículo segurado estava em estado de embriaguez ou com alteração de capacidade psicomotora, constando apenas odor etílico, o que julga ser elemento insuficiente para embasar a negativa na cobertura do pagamento do seguro. Insiste que não há prova de que o condutor estava embriagado no momento do acidente e, portanto, não há razão para a seguradora, ora requerida, negar o pagamento do prêmio. Pugnou, ao final, pelo provimento do recurso para reforma integral do julgado e total procedência do pleito indenizatório. </w:t>
      </w:r>
    </w:p>
    <w:p w:rsidR="00D31C5C" w:rsidRPr="00121DFE" w:rsidRDefault="006452E5" w:rsidP="009F1D0B">
      <w:pPr>
        <w:pStyle w:val="Recuodecorpodetexto"/>
        <w:spacing w:line="360" w:lineRule="auto"/>
        <w:ind w:firstLine="1418"/>
        <w:rPr>
          <w:rFonts w:ascii="Arial" w:hAnsi="Arial" w:cs="Arial"/>
          <w:szCs w:val="24"/>
        </w:rPr>
      </w:pPr>
      <w:r>
        <w:t xml:space="preserve">Recurso tempestivo, isento de preparo (fls. 297 e 318), regularmente processado, com contrarrazões (fls. 300/316). A apelante manifestou que não se opõe ao julgamento virtual (fl. 320). </w:t>
      </w:r>
    </w:p>
    <w:p w:rsidR="00D31C5C" w:rsidRPr="00121DFE" w:rsidRDefault="00D31C5C" w:rsidP="009F1D0B">
      <w:pPr>
        <w:pStyle w:val="Recuodecorpodetexto"/>
        <w:spacing w:line="360" w:lineRule="auto"/>
        <w:ind w:firstLine="1418"/>
        <w:rPr>
          <w:rFonts w:ascii="Arial" w:hAnsi="Arial" w:cs="Arial"/>
          <w:szCs w:val="24"/>
        </w:rPr>
      </w:pPr>
      <w:r/>
    </w:p>
    <w:p w:rsidR="00D31C5C" w:rsidRPr="00121DFE" w:rsidRDefault="00D31C5C" w:rsidP="009F1D0B">
      <w:pPr>
        <w:spacing w:line="360" w:lineRule="auto"/>
        <w:ind w:firstLine="1418"/>
        <w:jc w:val="both"/>
        <w:rPr>
          <w:rFonts w:ascii="Arial" w:hAnsi="Arial" w:cs="Arial"/>
          <w:b/>
          <w:sz w:val="24"/>
          <w:szCs w:val="24"/>
        </w:rPr>
      </w:pPr>
      <w:r>
        <w:t>É o relatório.</w:t>
      </w:r>
    </w:p>
    <w:p w:rsidR="00D31C5C" w:rsidRPr="00121DFE" w:rsidRDefault="00D31C5C" w:rsidP="009F1D0B">
      <w:pPr>
        <w:pStyle w:val="Recuodecorpodetexto"/>
        <w:spacing w:line="360" w:lineRule="auto"/>
        <w:ind w:firstLine="1418"/>
        <w:rPr>
          <w:rFonts w:ascii="Arial" w:hAnsi="Arial" w:cs="Arial"/>
          <w:szCs w:val="24"/>
        </w:rPr>
      </w:pPr>
      <w:r/>
    </w:p>
    <w:p w:rsidR="00D31C5C" w:rsidRPr="00121DFE" w:rsidRDefault="00D31C5C" w:rsidP="009F1D0B">
      <w:pPr>
        <w:pStyle w:val="Recuodecorpodetexto"/>
        <w:spacing w:line="360" w:lineRule="auto"/>
        <w:ind w:firstLine="1418"/>
        <w:rPr>
          <w:rFonts w:ascii="Arial" w:hAnsi="Arial" w:cs="Arial"/>
          <w:szCs w:val="24"/>
        </w:rPr>
      </w:pPr>
      <w:r>
        <w:t xml:space="preserve">Colhe-se dos autos que a autora celebrou contrato de seguro com a ré relativo ao veículo Volkswagen/ T-AUTOR(A) 1.4, TSI Flex, placa EVK7097, conforme se pode inferir da apólice de n° 05.31/23875336. Em 20.06.2020, o marido da autora, ao conduzir o automóvel segurado pela requerida, se envolveu em acidente e colidiu contra a traseira de um caminhão Scania/G 380, placa MFD1433. Diante destas circunstâncias, por considerar o infortúnio abrangido pelos riscos acobertados pela demandada, a autora acionou administrativamente a seguradora para o pagamento de indenização em vista do sinistro. No entanto, a mesma se recusou a proceder ao pagamento, sob o argumento da existência de previsão contratual quanto à exclusão da cobertura securitária na hipótese de embriaguez do condutor. </w:t>
      </w:r>
    </w:p>
    <w:p w:rsidR="00D31C5C" w:rsidRPr="00121DFE" w:rsidRDefault="001E0B0B" w:rsidP="009F1D0B">
      <w:pPr>
        <w:pStyle w:val="Recuodecorpodetexto"/>
        <w:spacing w:line="360" w:lineRule="auto"/>
        <w:ind w:firstLine="1418"/>
        <w:rPr>
          <w:rFonts w:ascii="Arial" w:hAnsi="Arial" w:cs="Arial"/>
          <w:szCs w:val="24"/>
        </w:rPr>
      </w:pPr>
      <w:r>
        <w:t>A r. sentença contra a qual a autora se insurge reconheceu a improcedência da ação, acolhida a tese de licitude da conduta da seguradora em recusar o pagamento de indenização proveniente de contrato de seguro em razão do agravamento do risco perpetrado pelo segurado.</w:t>
      </w:r>
    </w:p>
    <w:p w:rsidR="00D31C5C" w:rsidRPr="009F1D0B" w:rsidRDefault="009F1D0B" w:rsidP="009F1D0B">
      <w:pPr>
        <w:suppressAutoHyphens/>
        <w:spacing w:line="360" w:lineRule="auto"/>
        <w:ind w:firstLine="1418"/>
        <w:jc w:val="both"/>
        <w:rPr>
          <w:rFonts w:ascii="Arial" w:hAnsi="Arial"/>
          <w:sz w:val="24"/>
          <w:szCs w:val="24"/>
        </w:rPr>
      </w:pPr>
      <w:r>
        <w:t>Respeitados os argumentos expostos nas razões recursais, pelo meu voto, nego provimento ao recurso.</w:t>
      </w:r>
    </w:p>
    <w:p w:rsidR="00D31C5C" w:rsidRPr="00121DFE" w:rsidRDefault="00D31C5C" w:rsidP="009F1D0B">
      <w:pPr>
        <w:pStyle w:val="Recuodecorpodetexto"/>
        <w:spacing w:line="360" w:lineRule="auto"/>
        <w:ind w:firstLine="1418"/>
        <w:rPr>
          <w:rFonts w:ascii="Arial" w:hAnsi="Arial" w:cs="Arial"/>
          <w:szCs w:val="24"/>
        </w:rPr>
      </w:pPr>
      <w:r>
        <w:t xml:space="preserve">Como é cediço, por meio do contrato de seguro, uma pessoa física ou jurídica (segurado) paga uma quantia denominada de “prêmio” para que uma pessoa jurídica assuma determinado risco (seguradora). Caso o risco se concretize, a seguradora deverá fornecer ao segurado uma quantia previamente estipulada (indenização).  </w:t>
      </w:r>
    </w:p>
    <w:p w:rsidR="00D31C5C" w:rsidRPr="00121DFE" w:rsidRDefault="00D31C5C" w:rsidP="009F1D0B">
      <w:pPr>
        <w:pStyle w:val="Recuodecorpodetexto"/>
        <w:spacing w:line="360" w:lineRule="auto"/>
        <w:ind w:firstLine="1418"/>
        <w:rPr>
          <w:rFonts w:ascii="Arial" w:hAnsi="Arial" w:cs="Arial"/>
          <w:szCs w:val="24"/>
        </w:rPr>
      </w:pPr>
      <w:r>
        <w:t xml:space="preserve">Através de tal definição, possível sintetizar os elementos essenciais integrantes do contrato de seguro, a saber, (i) o risco; (ii) a mutualidade; e (iii) a boa-fé. </w:t>
      </w:r>
    </w:p>
    <w:p w:rsidR="00D31C5C" w:rsidRPr="00121DFE" w:rsidRDefault="00D31C5C" w:rsidP="009F1D0B">
      <w:pPr>
        <w:pStyle w:val="Recuodecorpodetexto"/>
        <w:spacing w:line="360" w:lineRule="auto"/>
        <w:ind w:firstLine="1418"/>
        <w:rPr>
          <w:rFonts w:ascii="Arial" w:hAnsi="Arial" w:cs="Arial"/>
          <w:szCs w:val="24"/>
        </w:rPr>
      </w:pPr>
      <w:r>
        <w:t xml:space="preserve">O risco está relacionado aos fatos e situações da vida real que causam probabilidade de dano, segundo as características do bem segurado e do perfil do contratante. A mutualidade, por sua vez, congrega a solidariedade econômica formada entre os segurados para a cobertura dos sinistros. A boa-fé, enfim, aparece como fio condutor da relação negocial, já que corresponde ao dever de veracidade e lealdade na conduta imprimida por ambas as partes. </w:t>
      </w:r>
    </w:p>
    <w:p w:rsidR="00D15908" w:rsidRPr="00121DFE" w:rsidRDefault="00D31C5C" w:rsidP="009F1D0B">
      <w:pPr>
        <w:pStyle w:val="Recuodecorpodetexto"/>
        <w:spacing w:line="360" w:lineRule="auto"/>
        <w:ind w:firstLine="1418"/>
        <w:rPr>
          <w:rFonts w:ascii="Arial" w:hAnsi="Arial" w:cs="Arial"/>
          <w:szCs w:val="24"/>
        </w:rPr>
      </w:pPr>
      <w:r>
        <w:t xml:space="preserve">Nesse ínterim, malgrado a insistência da demandante, no caso em análise a negativa do pagamento de indenização não denota a abusividade de conduta por parte da ré. </w:t>
      </w:r>
    </w:p>
    <w:p w:rsidR="0096141C" w:rsidRDefault="00D31C5C" w:rsidP="009F1D0B">
      <w:pPr>
        <w:pStyle w:val="Recuodecorpodetexto"/>
        <w:spacing w:line="360" w:lineRule="auto"/>
        <w:ind w:firstLine="1418"/>
        <w:rPr>
          <w:rFonts w:ascii="Arial" w:hAnsi="Arial" w:cs="Arial"/>
          <w:szCs w:val="24"/>
        </w:rPr>
      </w:pPr>
      <w:r>
        <w:t xml:space="preserve">A prova dos autos, em especial o Auto de Infração emitido pelo Departamento de Estradas e Rodagem, dotado de fé pública (fls. 265/267), indicou que o condutor apresentava hálito etílico e se recusou a realizar o teste de bafômetro. É certo que o condutor tem a faculdade de se recusar a realizar o referido teste, entretanto, não pode ele se recusar a fazê-lo e depois alegar que a embriaguez não foi comprovada. </w:t>
      </w:r>
    </w:p>
    <w:p w:rsidR="00D31C5C" w:rsidRPr="009C57B9" w:rsidRDefault="0096141C" w:rsidP="009F1D0B">
      <w:pPr>
        <w:pStyle w:val="Recuodecorpodetexto"/>
        <w:spacing w:line="360" w:lineRule="auto"/>
        <w:ind w:firstLine="1418"/>
        <w:rPr>
          <w:rFonts w:ascii="Arial" w:hAnsi="Arial" w:cs="Arial"/>
          <w:szCs w:val="24"/>
        </w:rPr>
      </w:pPr>
      <w:r>
        <w:t>Como bem observou o juízo de origem: “Ainda, a parte autora não pode e não deve ser privilegiada por sua inércia em realizar o teste de bafômetro. Não vige aqui o nemo tenetur se detegere do direito sancionatório (administrativo e criminal), porque não se trata de relação jurídica entre Estado e parte e sim entre partes civis. Não há razão, no processo civil, para privilegiar, em detrimento da outra parte, quem se cala da verdade dos fatos.” (fls. 284)</w:t>
      </w:r>
    </w:p>
    <w:p w:rsidR="00D31C5C" w:rsidRPr="00121DFE" w:rsidRDefault="00D31C5C" w:rsidP="009F1D0B">
      <w:pPr>
        <w:pStyle w:val="Recuodecorpodetexto"/>
        <w:spacing w:line="360" w:lineRule="auto"/>
        <w:ind w:firstLine="1418"/>
        <w:rPr>
          <w:rFonts w:ascii="Arial" w:hAnsi="Arial" w:cs="Arial"/>
          <w:szCs w:val="24"/>
        </w:rPr>
      </w:pPr>
      <w:r>
        <w:t xml:space="preserve">A bebida alcóolica, como é sabido, reduz o discernimento, os atos reflexos e o próprio processamento de informações no cérebro, de modo que aquele que a ingere torna-se menos apto a dirigir, aumentando sensivelmente o risco de o sinistro acontecer. </w:t>
      </w:r>
    </w:p>
    <w:p w:rsidR="00E04B33" w:rsidRDefault="00D31C5C" w:rsidP="009F1D0B">
      <w:pPr>
        <w:pStyle w:val="Recuodecorpodetexto"/>
        <w:spacing w:line="360" w:lineRule="auto"/>
        <w:ind w:firstLine="1418"/>
        <w:rPr>
          <w:rFonts w:ascii="Arial" w:hAnsi="Arial" w:cs="Arial"/>
          <w:szCs w:val="24"/>
        </w:rPr>
      </w:pPr>
      <w:r>
        <w:t xml:space="preserve">No caso em análise, os efeitos danosos da ingestão do álcool puderam ser percebidos pelo próprio sinistro, já que o condutor colidiu contra a traseira de um caminhão em horário de pouco movimento na estrada. Aliás, veja-se as cláusulas 12, d e 20, III, alínea f (fls. 169 e 211): </w:t>
      </w:r>
    </w:p>
    <w:p w:rsidR="00E04B33" w:rsidRDefault="00E04B33" w:rsidP="009F1D0B">
      <w:pPr>
        <w:pStyle w:val="Recuodecorpodetexto"/>
        <w:spacing w:line="360" w:lineRule="auto"/>
        <w:ind w:left="2127" w:firstLine="1418"/>
        <w:rPr>
          <w:rFonts w:ascii="Arial" w:hAnsi="Arial" w:cs="Arial"/>
          <w:sz w:val="22"/>
          <w:szCs w:val="22"/>
        </w:rPr>
      </w:pPr>
      <w:r/>
    </w:p>
    <w:p w:rsidR="00E04B33" w:rsidRPr="001E0B0B" w:rsidRDefault="00E04B33" w:rsidP="009F1D0B">
      <w:pPr>
        <w:pStyle w:val="Recuodecorpodetexto"/>
        <w:spacing w:line="360" w:lineRule="auto"/>
        <w:ind w:left="2127" w:firstLine="1418"/>
        <w:rPr>
          <w:rFonts w:ascii="Arial" w:hAnsi="Arial" w:cs="Arial"/>
          <w:b/>
          <w:bCs/>
          <w:sz w:val="22"/>
          <w:szCs w:val="22"/>
        </w:rPr>
      </w:pPr>
      <w:r>
        <w:t>“12. EXCLUSÕES GERAIS – RISCOS E PREJUÍZOS NÃO COBERTOS PELO SEGURO</w:t>
      </w:r>
    </w:p>
    <w:p w:rsidR="00E04B33" w:rsidRPr="001E0B0B" w:rsidRDefault="00E04B33" w:rsidP="009F1D0B">
      <w:pPr>
        <w:pStyle w:val="Recuodecorpodetexto"/>
        <w:spacing w:line="360" w:lineRule="auto"/>
        <w:ind w:left="2127" w:firstLine="1418"/>
        <w:rPr>
          <w:rFonts w:ascii="Arial" w:hAnsi="Arial" w:cs="Arial"/>
          <w:b/>
          <w:bCs/>
          <w:sz w:val="22"/>
          <w:szCs w:val="22"/>
        </w:rPr>
      </w:pPr>
      <w:r>
        <w:t>(...)</w:t>
      </w:r>
    </w:p>
    <w:p w:rsidR="00E04B33" w:rsidRPr="001E0B0B" w:rsidRDefault="00E04B33" w:rsidP="009F1D0B">
      <w:pPr>
        <w:pStyle w:val="Recuodecorpodetexto"/>
        <w:spacing w:line="360" w:lineRule="auto"/>
        <w:ind w:left="2127" w:firstLine="1418"/>
        <w:rPr>
          <w:rFonts w:ascii="Arial" w:hAnsi="Arial" w:cs="Arial"/>
          <w:b/>
          <w:bCs/>
          <w:sz w:val="22"/>
          <w:szCs w:val="22"/>
        </w:rPr>
      </w:pPr>
      <w:r>
        <w:t>d) Atos praticados em estado de insanidade mental e/ou sob efeito de bebidas alcoólicas e/ou substancias tóxicas, desde que comprovado pela Seguradora o nexo de causalidade entre o estado de embriaguez ou de efeito de substâncias tóxicas do condutor do veículo e o evento que provocou os danos.</w:t>
      </w:r>
    </w:p>
    <w:p w:rsidR="00E04B33" w:rsidRPr="001E0B0B" w:rsidRDefault="00E04B33" w:rsidP="009F1D0B">
      <w:pPr>
        <w:pStyle w:val="Recuodecorpodetexto"/>
        <w:spacing w:line="360" w:lineRule="auto"/>
        <w:ind w:left="2127" w:firstLine="1418"/>
        <w:rPr>
          <w:rFonts w:ascii="Arial" w:hAnsi="Arial" w:cs="Arial"/>
          <w:b/>
          <w:bCs/>
          <w:sz w:val="22"/>
          <w:szCs w:val="22"/>
        </w:rPr>
      </w:pPr>
      <w:r>
        <w:t>(...)</w:t>
      </w:r>
    </w:p>
    <w:p w:rsidR="00E04B33" w:rsidRPr="001E0B0B" w:rsidRDefault="00E04B33" w:rsidP="009F1D0B">
      <w:pPr>
        <w:pStyle w:val="Recuodecorpodetexto"/>
        <w:spacing w:line="360" w:lineRule="auto"/>
        <w:ind w:left="2127" w:firstLine="1418"/>
        <w:rPr>
          <w:rFonts w:ascii="Arial" w:hAnsi="Arial" w:cs="Arial"/>
          <w:b/>
          <w:bCs/>
          <w:sz w:val="22"/>
          <w:szCs w:val="22"/>
        </w:rPr>
      </w:pPr>
      <w:r>
        <w:t>20. PERDA DE DIREITOS</w:t>
      </w:r>
    </w:p>
    <w:p w:rsidR="00E04B33" w:rsidRPr="001E0B0B" w:rsidRDefault="00E04B33" w:rsidP="009F1D0B">
      <w:pPr>
        <w:pStyle w:val="Recuodecorpodetexto"/>
        <w:spacing w:line="360" w:lineRule="auto"/>
        <w:ind w:left="2127" w:firstLine="1418"/>
        <w:rPr>
          <w:rFonts w:ascii="Arial" w:hAnsi="Arial" w:cs="Arial"/>
          <w:b/>
          <w:bCs/>
          <w:sz w:val="22"/>
          <w:szCs w:val="22"/>
        </w:rPr>
      </w:pPr>
      <w:r>
        <w:t>(...)</w:t>
      </w:r>
    </w:p>
    <w:p w:rsidR="00E04B33" w:rsidRPr="001E0B0B" w:rsidRDefault="00E04B33" w:rsidP="009F1D0B">
      <w:pPr>
        <w:pStyle w:val="Recuodecorpodetexto"/>
        <w:spacing w:line="360" w:lineRule="auto"/>
        <w:ind w:left="2127" w:firstLine="1418"/>
        <w:rPr>
          <w:rFonts w:ascii="Arial" w:hAnsi="Arial" w:cs="Arial"/>
          <w:b/>
          <w:bCs/>
          <w:sz w:val="22"/>
          <w:szCs w:val="22"/>
        </w:rPr>
      </w:pPr>
      <w:r>
        <w:t>III. Se o veículo segurado:</w:t>
      </w:r>
    </w:p>
    <w:p w:rsidR="00E04B33" w:rsidRPr="001E0B0B" w:rsidRDefault="00E04B33" w:rsidP="009F1D0B">
      <w:pPr>
        <w:pStyle w:val="Recuodecorpodetexto"/>
        <w:spacing w:line="360" w:lineRule="auto"/>
        <w:ind w:left="2127" w:firstLine="1418"/>
        <w:rPr>
          <w:rFonts w:ascii="Arial" w:hAnsi="Arial" w:cs="Arial"/>
          <w:b/>
          <w:bCs/>
          <w:sz w:val="22"/>
          <w:szCs w:val="22"/>
        </w:rPr>
      </w:pPr>
      <w:r>
        <w:t>(..)</w:t>
      </w:r>
    </w:p>
    <w:p w:rsidR="00E04B33" w:rsidRPr="001E0B0B" w:rsidRDefault="00E04B33" w:rsidP="001E0B0B">
      <w:pPr>
        <w:pStyle w:val="Recuodecorpodetexto"/>
        <w:spacing w:line="360" w:lineRule="auto"/>
        <w:ind w:left="2127" w:firstLine="1418"/>
        <w:rPr>
          <w:rFonts w:ascii="Arial" w:hAnsi="Arial" w:cs="Arial"/>
          <w:b/>
          <w:bCs/>
          <w:sz w:val="22"/>
          <w:szCs w:val="22"/>
        </w:rPr>
      </w:pPr>
      <w:r>
        <w:t>f) Estiver sendo dirigido/utilizado por pessoa embriagada ou drogada, quando da ocorrência do sinistro, desde que caracterizado o nexo causal pela seguradora. Essa hipótese aplica-se a qualquer situação e abrange não só os atos praticados diretamente pelo Segurado, mas também os praticados por qualquer pessoa que estiver conduzindo o veículo, com ou sem o consentimento do Segurado.”</w:t>
      </w:r>
    </w:p>
    <w:p w:rsidR="00E04B33" w:rsidRDefault="00E04B33" w:rsidP="009F1D0B">
      <w:pPr>
        <w:pStyle w:val="Recuodecorpodetexto"/>
        <w:spacing w:line="360" w:lineRule="auto"/>
        <w:ind w:firstLine="1418"/>
        <w:rPr>
          <w:rFonts w:ascii="Arial" w:hAnsi="Arial" w:cs="Arial"/>
          <w:szCs w:val="24"/>
        </w:rPr>
      </w:pPr>
      <w:r/>
    </w:p>
    <w:p w:rsidR="00E04B33" w:rsidRDefault="00E04B33" w:rsidP="009F1D0B">
      <w:pPr>
        <w:pStyle w:val="Recuodecorpodetexto"/>
        <w:spacing w:line="360" w:lineRule="auto"/>
        <w:ind w:firstLine="1418"/>
        <w:rPr>
          <w:rFonts w:ascii="Arial" w:hAnsi="Arial" w:cs="Arial"/>
          <w:szCs w:val="24"/>
        </w:rPr>
      </w:pPr>
      <w:r>
        <w:t xml:space="preserve">As cláusulas supramencionadas mostram-se legítimas, já que em consonância com o art. 768 do Código Civil, “in verbis”: </w:t>
      </w:r>
    </w:p>
    <w:p w:rsidR="00E04B33" w:rsidRDefault="00E04B33" w:rsidP="009F1D0B">
      <w:pPr>
        <w:pStyle w:val="Recuodecorpodetexto"/>
        <w:spacing w:line="360" w:lineRule="auto"/>
        <w:ind w:firstLine="1418"/>
        <w:rPr>
          <w:rFonts w:ascii="Arial" w:hAnsi="Arial" w:cs="Arial"/>
          <w:szCs w:val="24"/>
        </w:rPr>
      </w:pPr>
      <w:r/>
    </w:p>
    <w:p w:rsidR="00D31C5C" w:rsidRPr="00024B65" w:rsidRDefault="00D31C5C" w:rsidP="009F1D0B">
      <w:pPr>
        <w:pStyle w:val="Recuodecorpodetexto"/>
        <w:spacing w:line="360" w:lineRule="auto"/>
        <w:ind w:left="2268" w:firstLine="1418"/>
        <w:rPr>
          <w:rFonts w:ascii="Arial" w:hAnsi="Arial" w:cs="Arial"/>
          <w:szCs w:val="24"/>
        </w:rPr>
      </w:pPr>
      <w:r>
        <w:t>Art. 768. O segurado perderá o direito à garantia se agravar intencionalmente o risco objeto do contrato.</w:t>
      </w:r>
    </w:p>
    <w:p w:rsidR="00D31C5C" w:rsidRPr="00121DFE" w:rsidRDefault="00D31C5C" w:rsidP="009F1D0B">
      <w:pPr>
        <w:pStyle w:val="Recuodecorpodetexto"/>
        <w:spacing w:line="360" w:lineRule="auto"/>
        <w:ind w:firstLine="1418"/>
        <w:rPr>
          <w:rFonts w:ascii="Arial" w:hAnsi="Arial" w:cs="Arial"/>
          <w:szCs w:val="24"/>
        </w:rPr>
      </w:pPr>
      <w:r/>
    </w:p>
    <w:p w:rsidR="00024B65" w:rsidRDefault="00EA4BAF" w:rsidP="009F1D0B">
      <w:pPr>
        <w:pStyle w:val="Recuodecorpodetexto"/>
        <w:spacing w:line="360" w:lineRule="auto"/>
        <w:ind w:firstLine="1418"/>
        <w:rPr>
          <w:rFonts w:ascii="Arial" w:hAnsi="Arial" w:cs="Arial"/>
          <w:szCs w:val="24"/>
        </w:rPr>
      </w:pPr>
      <w:r>
        <w:t>Assim, não se verifica conduta ilícita pela apelada, de modo que a indenização não é devida. Em casos análogos, assim decidiu este AUTOR(A) de Justiça:</w:t>
      </w:r>
    </w:p>
    <w:p w:rsidR="00024B65" w:rsidRDefault="00024B65" w:rsidP="009F1D0B">
      <w:pPr>
        <w:pStyle w:val="Recuodecorpodetexto"/>
        <w:spacing w:line="360" w:lineRule="auto"/>
        <w:ind w:firstLine="1418"/>
        <w:rPr>
          <w:rFonts w:ascii="Arial" w:hAnsi="Arial" w:cs="Arial"/>
          <w:szCs w:val="24"/>
        </w:rPr>
      </w:pPr>
      <w:r/>
    </w:p>
    <w:p w:rsidR="00C552FE" w:rsidRDefault="00270361" w:rsidP="009F1D0B">
      <w:pPr>
        <w:pStyle w:val="Recuodecorpodetexto"/>
        <w:spacing w:line="360" w:lineRule="auto"/>
        <w:ind w:firstLine="1418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t>“APELAÇÃO. Seguro. Sentença de improcedência. Apelada que negou cobertura securitária ao apelante. Manutenção. Apelante: [APELANTE]</w:t>
      </w:r>
    </w:p>
    <w:p w:rsidR="003E2D60" w:rsidRDefault="003E2D60" w:rsidP="009F1D0B">
      <w:pPr>
        <w:pStyle w:val="Recuodecorpodetexto"/>
        <w:spacing w:line="360" w:lineRule="auto"/>
        <w:ind w:firstLine="1418"/>
        <w:rPr>
          <w:rFonts w:ascii="Arial" w:hAnsi="Arial" w:cs="Arial"/>
          <w:color w:val="000000"/>
          <w:szCs w:val="24"/>
          <w:shd w:val="clear" w:color="auto" w:fill="FFFFFF"/>
        </w:rPr>
      </w:pPr>
      <w:r/>
    </w:p>
    <w:p w:rsidR="00C552FE" w:rsidRDefault="00270361" w:rsidP="009F1D0B">
      <w:pPr>
        <w:pStyle w:val="Recuodecorpodetexto"/>
        <w:spacing w:line="360" w:lineRule="auto"/>
        <w:ind w:firstLine="1418"/>
        <w:rPr>
          <w:rFonts w:ascii="Arial" w:hAnsi="Arial" w:cs="Arial"/>
          <w:b/>
          <w:bCs/>
          <w:sz w:val="22"/>
          <w:szCs w:val="22"/>
        </w:rPr>
      </w:pPr>
      <w:r>
        <w:t xml:space="preserve">“Seguro facultativo de automóvel. Ação de cobrança da indenização securitária. Sentença de improcedência. No boletim de ocorrência constou que a condutora do veículo ostentava hálito com odor etílico. Narrativa que goza de presunção relativa de veracidade e não foi infirmada pela prova oral e documental produzida nos autos. A demonstração de que a condutora estava bastante cansada em razão de ter trabalhado bastante até altas horas da noite, não comprova que ela sofreu um mal súbito, decorrente desse cansaço, enquanto dirigia o veículo. A mera alegação de que a condutora sofreu mal súbito na direção do veículo não possui o condão de afastar a presunção de veracidade da narrativa do policial que atendeu a ocorrência no sentido de que ela ostentava hálito com odor etílico. Entendimento do E. STJ de que a embriaguez do condutor enseja presunção relativa do agravamento do risco, inclusive em hipóteses de empréstimo do automóvel a familiares, empregados e prepostos, o que implica na manutenção da improcedência da ação. Apelação não provida.” (TJSP; Apelação Cível 0000000-00.0000.0.00.0000; Relator (a): AUTOR(A); Órgão Julgador: 35ª Câmara de AUTOR(A); Foro de Ribeirão Preto - [VARA]; Data do Julgamento: 31/10/2022; Data de Registro: 31/10/2022). </w:t>
      </w:r>
    </w:p>
    <w:p w:rsidR="00D31C5C" w:rsidRPr="00121DFE" w:rsidRDefault="00D31C5C" w:rsidP="009F1D0B">
      <w:pPr>
        <w:pStyle w:val="Recuodecorpodetexto"/>
        <w:spacing w:line="360" w:lineRule="auto"/>
        <w:ind w:firstLine="1418"/>
        <w:rPr>
          <w:rFonts w:ascii="Arial" w:hAnsi="Arial" w:cs="Arial"/>
          <w:szCs w:val="24"/>
        </w:rPr>
      </w:pPr>
      <w:r/>
    </w:p>
    <w:p w:rsidR="00C552FE" w:rsidRDefault="00D31C5C" w:rsidP="009F1D0B">
      <w:pPr>
        <w:pStyle w:val="Recuodecorpodetexto"/>
        <w:spacing w:line="360" w:lineRule="auto"/>
        <w:ind w:firstLine="1418"/>
        <w:rPr>
          <w:rFonts w:ascii="Arial" w:hAnsi="Arial" w:cs="Arial"/>
          <w:szCs w:val="24"/>
        </w:rPr>
      </w:pPr>
      <w:r>
        <w:t xml:space="preserve">Pelas razões de fato e de direito acima expostas, o caso era mesmo de improcedência da demanda, devendo a sentença ser mantida em sua integralidade tal como lançada, pelos seus próprios e jurídicos fundamentos. </w:t>
      </w:r>
    </w:p>
    <w:p w:rsidR="00C552FE" w:rsidRDefault="00DD0C7F" w:rsidP="009F1D0B">
      <w:pPr>
        <w:pStyle w:val="Recuodecorpodetexto"/>
        <w:spacing w:line="360" w:lineRule="auto"/>
        <w:ind w:firstLine="1418"/>
        <w:rPr>
          <w:rFonts w:ascii="Arial" w:hAnsi="Arial" w:cs="Arial"/>
          <w:szCs w:val="24"/>
        </w:rPr>
      </w:pPr>
      <w:r>
        <w:t>Ante a sucumbência recursal, nos termos do artigo 85, § 11, do Código de AUTOR(A), majoram-se os honorários advocatícios ao patamar de 12% (doze por cento) sobre o valor atualizado da causa, observada a gratuidade judiciária concedida à apelante, nos termos do art. 98, § 3º, do CPC.</w:t>
      </w:r>
    </w:p>
    <w:p w:rsidR="00C552FE" w:rsidRDefault="00DD0C7F" w:rsidP="009F1D0B">
      <w:pPr>
        <w:pStyle w:val="Recuodecorpodetexto"/>
        <w:spacing w:line="360" w:lineRule="auto"/>
        <w:ind w:firstLine="1418"/>
        <w:rPr>
          <w:rFonts w:ascii="Arial" w:hAnsi="Arial" w:cs="Arial"/>
          <w:color w:val="000000"/>
          <w:szCs w:val="24"/>
        </w:rPr>
      </w:pPr>
      <w:r>
        <w:t>Considera-se prequestionada a matéria constitucional e infraconstitucional, desnecessária a citação numérica dos dispositivos legais, bastando a decisão da questão posta (EDROMS 18205/SP, Min. AUTOR(A)).</w:t>
      </w:r>
    </w:p>
    <w:p w:rsidR="00C552FE" w:rsidRDefault="00C552FE" w:rsidP="009F1D0B">
      <w:pPr>
        <w:pStyle w:val="Recuodecorpodetexto"/>
        <w:spacing w:line="360" w:lineRule="auto"/>
        <w:ind w:firstLine="1418"/>
        <w:rPr>
          <w:rFonts w:ascii="Arial" w:hAnsi="Arial" w:cs="Arial"/>
          <w:color w:val="000000"/>
          <w:szCs w:val="24"/>
        </w:rPr>
      </w:pPr>
      <w:r/>
    </w:p>
    <w:p w:rsidR="00DD0C7F" w:rsidRPr="00C552FE" w:rsidRDefault="00DD0C7F" w:rsidP="009F1D0B">
      <w:pPr>
        <w:pStyle w:val="Recuodecorpodetexto"/>
        <w:spacing w:line="360" w:lineRule="auto"/>
        <w:ind w:firstLine="1418"/>
        <w:rPr>
          <w:rFonts w:ascii="Arial" w:hAnsi="Arial" w:cs="Arial"/>
          <w:szCs w:val="24"/>
        </w:rPr>
      </w:pPr>
      <w:r>
        <w:t>Nestes termos, pelo meu voto, NEGO PROVIMENTO ao recurso.</w:t>
      </w:r>
    </w:p>
    <w:p w:rsidR="00DD0C7F" w:rsidRDefault="00DD0C7F" w:rsidP="009F1D0B">
      <w:pPr>
        <w:spacing w:line="360" w:lineRule="auto"/>
        <w:ind w:firstLine="1418"/>
        <w:jc w:val="center"/>
        <w:rPr>
          <w:rFonts w:ascii="Arial" w:hAnsi="Arial"/>
          <w:b/>
        </w:rPr>
      </w:pPr>
      <w:r/>
    </w:p>
    <w:p w:rsidR="00D31C5C" w:rsidRPr="00121DFE" w:rsidRDefault="00D31C5C" w:rsidP="009F1D0B">
      <w:pPr>
        <w:spacing w:line="360" w:lineRule="auto"/>
        <w:ind w:firstLine="1418"/>
        <w:jc w:val="center"/>
        <w:rPr>
          <w:rFonts w:ascii="Arial" w:hAnsi="Arial" w:cs="Arial"/>
          <w:b/>
          <w:sz w:val="24"/>
          <w:szCs w:val="24"/>
        </w:rPr>
      </w:pPr>
      <w:r/>
    </w:p>
    <w:p w:rsidR="00D31C5C" w:rsidRPr="00121DFE" w:rsidRDefault="00D31C5C" w:rsidP="009F1D0B">
      <w:pPr>
        <w:pStyle w:val="Ttulo4"/>
        <w:spacing w:line="360" w:lineRule="auto"/>
        <w:ind w:firstLine="1418"/>
        <w:rPr>
          <w:rFonts w:ascii="Arial" w:hAnsi="Arial" w:cs="Arial"/>
          <w:sz w:val="24"/>
          <w:szCs w:val="24"/>
        </w:rPr>
      </w:pPr>
      <w:r>
        <w:t>JOSÉ AUGUSTO GENOFRE MARTINS</w:t>
      </w:r>
    </w:p>
    <w:p w:rsidR="00D31C5C" w:rsidRPr="00121DFE" w:rsidRDefault="00D31C5C" w:rsidP="00103BB7">
      <w:pPr>
        <w:pStyle w:val="Ttulo4"/>
        <w:spacing w:line="360" w:lineRule="auto"/>
        <w:ind w:left="2830" w:firstLine="1418"/>
        <w:jc w:val="left"/>
        <w:rPr>
          <w:rFonts w:ascii="Arial" w:hAnsi="Arial" w:cs="Arial"/>
          <w:sz w:val="24"/>
          <w:szCs w:val="24"/>
        </w:rPr>
      </w:pPr>
      <w:r>
        <w:t>RELATOR</w:t>
      </w:r>
    </w:p>
    <w:p w:rsidR="00D31C5C" w:rsidRPr="00121DFE" w:rsidRDefault="00D31C5C" w:rsidP="009F1D0B">
      <w:pPr>
        <w:spacing w:line="360" w:lineRule="auto"/>
        <w:ind w:firstLine="1418"/>
        <w:rPr>
          <w:rFonts w:ascii="Arial" w:hAnsi="Arial" w:cs="Arial"/>
          <w:sz w:val="24"/>
          <w:szCs w:val="24"/>
        </w:rPr>
      </w:pPr>
      <w:r/>
    </w:p>
    <w:p w:rsidR="00A35541" w:rsidRDefault="00A35541" w:rsidP="009F1D0B">
      <w:pPr>
        <w:spacing w:line="360" w:lineRule="auto"/>
        <w:ind w:firstLine="1418"/>
      </w:pPr>
      <w:r/>
    </w:p>
    <w:sectPr w:rsidR="00A35541" w:rsidSect="002A7BF5">
      <w:headerReference w:type="default" r:id="rId9"/>
      <w:footerReference w:type="even" r:id="rId10"/>
      <w:footerReference w:type="default" r:id="rId11"/>
      <w:pgSz w:w="11907" w:h="16840" w:code="9"/>
      <w:pgMar w:top="1418" w:right="1134" w:bottom="426" w:left="2552" w:header="1077" w:footer="1077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2A7BF5" w:rsidRDefault="002A7BF5" w:rsidP="00D31C5C">
      <w:r>
        <w:separator/>
      </w:r>
    </w:p>
  </w:endnote>
  <w:endnote w:type="continuationSeparator" w:id="0">
    <w:p w:rsidR="002A7BF5" w:rsidRDefault="002A7BF5" w:rsidP="00D31C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C300C" w:rsidRDefault="001C300C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1C300C" w:rsidRDefault="001C300C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C300C" w:rsidRPr="00ED3059" w:rsidRDefault="001C300C" w:rsidP="001C300C">
    <w:pPr>
      <w:pStyle w:val="Rodap"/>
      <w:framePr w:wrap="around" w:vAnchor="text" w:hAnchor="page" w:x="6693" w:y="312"/>
      <w:rPr>
        <w:rStyle w:val="Nmerodepgina"/>
        <w:rFonts w:ascii="Book Antiqua" w:hAnsi="Book Antiqua"/>
        <w:sz w:val="20"/>
      </w:rPr>
    </w:pPr>
    <w:r w:rsidRPr="00ED3059">
      <w:rPr>
        <w:rStyle w:val="Nmerodepgina"/>
        <w:rFonts w:ascii="Book Antiqua" w:hAnsi="Book Antiqua"/>
        <w:sz w:val="20"/>
      </w:rPr>
      <w:fldChar w:fldCharType="begin"/>
    </w:r>
    <w:r w:rsidRPr="00ED3059">
      <w:rPr>
        <w:rStyle w:val="Nmerodepgina"/>
        <w:rFonts w:ascii="Book Antiqua" w:hAnsi="Book Antiqua"/>
        <w:sz w:val="20"/>
      </w:rPr>
      <w:instrText xml:space="preserve">PAGE  </w:instrText>
    </w:r>
    <w:r w:rsidRPr="00ED3059">
      <w:rPr>
        <w:rStyle w:val="Nmerodepgina"/>
        <w:rFonts w:ascii="Book Antiqua" w:hAnsi="Book Antiqua"/>
        <w:sz w:val="20"/>
      </w:rPr>
      <w:fldChar w:fldCharType="separate"/>
    </w:r>
    <w:r>
      <w:rPr>
        <w:rStyle w:val="Nmerodepgina"/>
        <w:rFonts w:ascii="Book Antiqua" w:hAnsi="Book Antiqua"/>
        <w:noProof/>
        <w:sz w:val="20"/>
      </w:rPr>
      <w:t>1</w:t>
    </w:r>
    <w:r w:rsidRPr="00ED3059">
      <w:rPr>
        <w:rStyle w:val="Nmerodepgina"/>
        <w:rFonts w:ascii="Book Antiqua" w:hAnsi="Book Antiqua"/>
        <w:sz w:val="20"/>
      </w:rPr>
      <w:fldChar w:fldCharType="end"/>
    </w:r>
  </w:p>
  <w:p w:rsidR="001C300C" w:rsidRPr="003E05E0" w:rsidRDefault="001C300C" w:rsidP="00D31C5C">
    <w:pPr>
      <w:pStyle w:val="Rodap"/>
      <w:jc w:val="center"/>
      <w:rPr>
        <w:rFonts w:ascii="Book Antiqua" w:hAnsi="Book Antiqua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2A7BF5" w:rsidRDefault="002A7BF5" w:rsidP="00D31C5C">
      <w:r>
        <w:separator/>
      </w:r>
    </w:p>
  </w:footnote>
  <w:footnote w:type="continuationSeparator" w:id="0">
    <w:p w:rsidR="002A7BF5" w:rsidRDefault="002A7BF5" w:rsidP="00D31C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Ind w:w="-356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204"/>
      <w:gridCol w:w="7727"/>
    </w:tblGrid>
    <w:tr w:rsidR="001C300C">
      <w:tblPrEx>
        <w:tblCellMar>
          <w:top w:w="0" w:type="dxa"/>
          <w:bottom w:w="0" w:type="dxa"/>
        </w:tblCellMar>
      </w:tblPrEx>
      <w:trPr>
        <w:trHeight w:val="1141"/>
      </w:trPr>
      <w:tc>
        <w:tcPr>
          <w:tcW w:w="1204" w:type="dxa"/>
        </w:tcPr>
        <w:bookmarkStart w:id="1" w:name="_MON_1168943624"/>
        <w:bookmarkStart w:id="2" w:name="_MON_1170171972"/>
        <w:bookmarkEnd w:id="1"/>
        <w:bookmarkEnd w:id="2"/>
        <w:p w:rsidR="001C300C" w:rsidRDefault="001C300C">
          <w:pPr>
            <w:spacing w:before="120"/>
          </w:pPr>
          <w:r>
            <w:object w:dxaOrig="1181" w:dyaOrig="1341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54.75pt;height:54pt" fillcolor="window">
                <v:imagedata r:id="rId1" o:title=""/>
              </v:shape>
              <o:OLEObject Type="Embed" ProgID="Word.Picture.8" ShapeID="_x0000_i1025" DrawAspect="Content" ObjectID="_1811179000" r:id="rId2"/>
            </w:object>
          </w:r>
        </w:p>
      </w:tc>
      <w:tc>
        <w:tcPr>
          <w:tcW w:w="7727" w:type="dxa"/>
        </w:tcPr>
        <w:p w:rsidR="001C300C" w:rsidRDefault="001C300C">
          <w:pPr>
            <w:pStyle w:val="Cabealho"/>
            <w:spacing w:before="140" w:line="360" w:lineRule="auto"/>
            <w:ind w:left="-68" w:right="282"/>
            <w:jc w:val="center"/>
          </w:pPr>
          <w:smartTag w:uri="schemas-houaiss/acao" w:element="hm">
            <w:r>
              <w:rPr>
                <w:b/>
              </w:rPr>
              <w:t>PODER</w:t>
            </w:r>
          </w:smartTag>
          <w:r>
            <w:rPr>
              <w:b/>
            </w:rPr>
            <w:t xml:space="preserve"> </w:t>
          </w:r>
          <w:smartTag w:uri="schemas-houaiss/mini" w:element="verbetes">
            <w:r>
              <w:rPr>
                <w:b/>
              </w:rPr>
              <w:t>JUDICIÁRIO</w:t>
            </w:r>
          </w:smartTag>
        </w:p>
        <w:p w:rsidR="001C300C" w:rsidRDefault="001C300C">
          <w:pPr>
            <w:pStyle w:val="Cabealho"/>
            <w:spacing w:line="360" w:lineRule="auto"/>
            <w:ind w:left="-70" w:right="282"/>
            <w:jc w:val="center"/>
          </w:pPr>
          <w:smartTag w:uri="schemas-houaiss/mini" w:element="verbetes">
            <w:r>
              <w:rPr>
                <w:sz w:val="18"/>
              </w:rPr>
              <w:t>SÃO</w:t>
            </w:r>
          </w:smartTag>
          <w:r>
            <w:rPr>
              <w:sz w:val="18"/>
            </w:rPr>
            <w:t xml:space="preserve"> PAULO</w:t>
          </w:r>
        </w:p>
        <w:p w:rsidR="001C300C" w:rsidRPr="00D31C5C" w:rsidRDefault="001C300C">
          <w:pPr>
            <w:pStyle w:val="Cabealho"/>
            <w:tabs>
              <w:tab w:val="clear" w:pos="4419"/>
              <w:tab w:val="clear" w:pos="8838"/>
            </w:tabs>
            <w:jc w:val="center"/>
            <w:rPr>
              <w:rFonts w:ascii="Book Antiqua" w:hAnsi="Book Antiqua"/>
              <w:b/>
              <w:sz w:val="24"/>
              <w:szCs w:val="24"/>
            </w:rPr>
          </w:pPr>
          <w:smartTag w:uri="schemas-houaiss/mini" w:element="verbetes">
            <w:r w:rsidRPr="00D31C5C">
              <w:rPr>
                <w:rFonts w:ascii="Book Antiqua" w:hAnsi="Book Antiqua"/>
                <w:b/>
                <w:sz w:val="24"/>
                <w:szCs w:val="24"/>
              </w:rPr>
              <w:t>TRIBUNAL</w:t>
            </w:r>
          </w:smartTag>
          <w:r w:rsidRPr="00D31C5C">
            <w:rPr>
              <w:rFonts w:ascii="Book Antiqua" w:hAnsi="Book Antiqua"/>
              <w:b/>
              <w:sz w:val="24"/>
              <w:szCs w:val="24"/>
            </w:rPr>
            <w:t xml:space="preserve"> DE </w:t>
          </w:r>
          <w:smartTag w:uri="schemas-houaiss/mini" w:element="verbetes">
            <w:r w:rsidRPr="00D31C5C">
              <w:rPr>
                <w:rFonts w:ascii="Book Antiqua" w:hAnsi="Book Antiqua"/>
                <w:b/>
                <w:sz w:val="24"/>
                <w:szCs w:val="24"/>
              </w:rPr>
              <w:t>JUSTIÇA</w:t>
            </w:r>
          </w:smartTag>
          <w:r w:rsidRPr="00D31C5C">
            <w:rPr>
              <w:rFonts w:ascii="Book Antiqua" w:hAnsi="Book Antiqua"/>
              <w:b/>
              <w:sz w:val="24"/>
              <w:szCs w:val="24"/>
            </w:rPr>
            <w:t xml:space="preserve"> DO </w:t>
          </w:r>
          <w:smartTag w:uri="schemas-houaiss/mini" w:element="verbetes">
            <w:r w:rsidRPr="00D31C5C">
              <w:rPr>
                <w:rFonts w:ascii="Book Antiqua" w:hAnsi="Book Antiqua"/>
                <w:b/>
                <w:sz w:val="24"/>
                <w:szCs w:val="24"/>
              </w:rPr>
              <w:t>ESTADO</w:t>
            </w:r>
          </w:smartTag>
          <w:r w:rsidRPr="00D31C5C">
            <w:rPr>
              <w:rFonts w:ascii="Book Antiqua" w:hAnsi="Book Antiqua"/>
              <w:b/>
              <w:sz w:val="24"/>
              <w:szCs w:val="24"/>
            </w:rPr>
            <w:t xml:space="preserve"> DE </w:t>
          </w:r>
          <w:smartTag w:uri="schemas-houaiss/mini" w:element="verbetes">
            <w:r w:rsidRPr="00D31C5C">
              <w:rPr>
                <w:rFonts w:ascii="Book Antiqua" w:hAnsi="Book Antiqua"/>
                <w:b/>
                <w:sz w:val="24"/>
                <w:szCs w:val="24"/>
              </w:rPr>
              <w:t>SÃO</w:t>
            </w:r>
          </w:smartTag>
          <w:r w:rsidRPr="00D31C5C">
            <w:rPr>
              <w:rFonts w:ascii="Book Antiqua" w:hAnsi="Book Antiqua"/>
              <w:b/>
              <w:sz w:val="24"/>
              <w:szCs w:val="24"/>
            </w:rPr>
            <w:t xml:space="preserve"> PAULO</w:t>
          </w:r>
        </w:p>
        <w:p w:rsidR="001C300C" w:rsidRDefault="001C300C" w:rsidP="00D31C5C">
          <w:pPr>
            <w:pStyle w:val="Cabealho"/>
            <w:tabs>
              <w:tab w:val="clear" w:pos="4419"/>
              <w:tab w:val="clear" w:pos="8838"/>
            </w:tabs>
            <w:jc w:val="center"/>
            <w:rPr>
              <w:b/>
            </w:rPr>
          </w:pPr>
          <w:smartTag w:uri="schemas-houaiss/acao" w:element="dm">
            <w:r w:rsidRPr="00D31C5C">
              <w:rPr>
                <w:rFonts w:ascii="Book Antiqua" w:hAnsi="Book Antiqua"/>
                <w:b/>
                <w:sz w:val="24"/>
                <w:szCs w:val="24"/>
              </w:rPr>
              <w:t>SEÇÃO</w:t>
            </w:r>
          </w:smartTag>
          <w:r w:rsidRPr="00D31C5C">
            <w:rPr>
              <w:rFonts w:ascii="Book Antiqua" w:hAnsi="Book Antiqua"/>
              <w:b/>
              <w:sz w:val="24"/>
              <w:szCs w:val="24"/>
            </w:rPr>
            <w:t xml:space="preserve"> DE </w:t>
          </w:r>
          <w:smartTag w:uri="schemas-houaiss/mini" w:element="verbetes">
            <w:r w:rsidRPr="00D31C5C">
              <w:rPr>
                <w:rFonts w:ascii="Book Antiqua" w:hAnsi="Book Antiqua"/>
                <w:b/>
                <w:sz w:val="24"/>
                <w:szCs w:val="24"/>
              </w:rPr>
              <w:t>DIREITO</w:t>
            </w:r>
          </w:smartTag>
          <w:r w:rsidRPr="00D31C5C">
            <w:rPr>
              <w:rFonts w:ascii="Book Antiqua" w:hAnsi="Book Antiqua"/>
              <w:b/>
              <w:sz w:val="24"/>
              <w:szCs w:val="24"/>
            </w:rPr>
            <w:t xml:space="preserve"> PRIVADO</w:t>
          </w:r>
          <w:r w:rsidR="00D31C5C">
            <w:rPr>
              <w:rFonts w:ascii="Book Antiqua" w:hAnsi="Book Antiqua"/>
              <w:b/>
              <w:sz w:val="28"/>
            </w:rPr>
            <w:t xml:space="preserve"> </w:t>
          </w:r>
        </w:p>
      </w:tc>
    </w:tr>
  </w:tbl>
  <w:p w:rsidR="001C300C" w:rsidRDefault="001C300C">
    <w:pPr>
      <w:pStyle w:val="Cabealho"/>
      <w:tabs>
        <w:tab w:val="clear" w:pos="4419"/>
        <w:tab w:val="clear" w:pos="8838"/>
      </w:tabs>
      <w:jc w:val="center"/>
    </w:pPr>
  </w:p>
  <w:p w:rsidR="001C300C" w:rsidRDefault="001C300C">
    <w:pPr>
      <w:pStyle w:val="Cabealho"/>
      <w:tabs>
        <w:tab w:val="clear" w:pos="4419"/>
        <w:tab w:val="clear" w:pos="8838"/>
      </w:tabs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31C5C"/>
    <w:rsid w:val="00003297"/>
    <w:rsid w:val="00021CF8"/>
    <w:rsid w:val="00024B65"/>
    <w:rsid w:val="00043E40"/>
    <w:rsid w:val="0005457C"/>
    <w:rsid w:val="0008176F"/>
    <w:rsid w:val="000A7858"/>
    <w:rsid w:val="000E520F"/>
    <w:rsid w:val="0010352C"/>
    <w:rsid w:val="00103BB7"/>
    <w:rsid w:val="00121729"/>
    <w:rsid w:val="00182BE0"/>
    <w:rsid w:val="001A4E1A"/>
    <w:rsid w:val="001B30A0"/>
    <w:rsid w:val="001C300C"/>
    <w:rsid w:val="001D7DC6"/>
    <w:rsid w:val="001E0B0B"/>
    <w:rsid w:val="001E7218"/>
    <w:rsid w:val="0022025C"/>
    <w:rsid w:val="00262807"/>
    <w:rsid w:val="00270361"/>
    <w:rsid w:val="0028190F"/>
    <w:rsid w:val="002A7BF5"/>
    <w:rsid w:val="003035C3"/>
    <w:rsid w:val="00305B1C"/>
    <w:rsid w:val="003525A1"/>
    <w:rsid w:val="003930E0"/>
    <w:rsid w:val="003E2AD3"/>
    <w:rsid w:val="003E2D60"/>
    <w:rsid w:val="004551D0"/>
    <w:rsid w:val="004E469C"/>
    <w:rsid w:val="005A7440"/>
    <w:rsid w:val="005B484E"/>
    <w:rsid w:val="005B5950"/>
    <w:rsid w:val="00602436"/>
    <w:rsid w:val="006137CA"/>
    <w:rsid w:val="00642796"/>
    <w:rsid w:val="00643E65"/>
    <w:rsid w:val="006452E5"/>
    <w:rsid w:val="006D43E3"/>
    <w:rsid w:val="0070186B"/>
    <w:rsid w:val="007B2993"/>
    <w:rsid w:val="007C33F3"/>
    <w:rsid w:val="007F05A1"/>
    <w:rsid w:val="00803E57"/>
    <w:rsid w:val="008636E1"/>
    <w:rsid w:val="008A15E2"/>
    <w:rsid w:val="00931484"/>
    <w:rsid w:val="0096141C"/>
    <w:rsid w:val="009C57B9"/>
    <w:rsid w:val="009F1D0B"/>
    <w:rsid w:val="00A35541"/>
    <w:rsid w:val="00A832EA"/>
    <w:rsid w:val="00B01977"/>
    <w:rsid w:val="00B02692"/>
    <w:rsid w:val="00B130F7"/>
    <w:rsid w:val="00B2718C"/>
    <w:rsid w:val="00B40543"/>
    <w:rsid w:val="00C552FE"/>
    <w:rsid w:val="00C94786"/>
    <w:rsid w:val="00D15908"/>
    <w:rsid w:val="00D31C5C"/>
    <w:rsid w:val="00D52D1F"/>
    <w:rsid w:val="00D76C95"/>
    <w:rsid w:val="00DD0C7F"/>
    <w:rsid w:val="00E04B33"/>
    <w:rsid w:val="00E144EE"/>
    <w:rsid w:val="00E506ED"/>
    <w:rsid w:val="00E52940"/>
    <w:rsid w:val="00EA4BAF"/>
    <w:rsid w:val="00EE5980"/>
    <w:rsid w:val="00F33E8B"/>
    <w:rsid w:val="00F57990"/>
    <w:rsid w:val="00F74BA7"/>
    <w:rsid w:val="00F848A8"/>
    <w:rsid w:val="00FF5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schemas-houaiss/acao" w:name="hm"/>
  <w:smartTagType w:namespaceuri="schemas-houaiss/acao" w:name="dm"/>
  <w:smartTagType w:namespaceuri="schemas-houaiss/mini" w:name="verbetes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28B7789D-8E80-4135-8B4F-B94AF20CE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1C5C"/>
    <w:rPr>
      <w:rFonts w:ascii="Verdana" w:eastAsia="Times New Roman" w:hAnsi="Verdana"/>
      <w:sz w:val="28"/>
    </w:rPr>
  </w:style>
  <w:style w:type="paragraph" w:styleId="Ttulo3">
    <w:name w:val="heading 3"/>
    <w:basedOn w:val="Normal"/>
    <w:next w:val="Normal"/>
    <w:link w:val="Ttulo3Char"/>
    <w:qFormat/>
    <w:rsid w:val="00D31C5C"/>
    <w:pPr>
      <w:keepNext/>
      <w:spacing w:line="360" w:lineRule="auto"/>
      <w:outlineLvl w:val="2"/>
    </w:pPr>
    <w:rPr>
      <w:rFonts w:ascii="Bookman Old Style" w:hAnsi="Bookman Old Style"/>
      <w:b/>
      <w:i/>
      <w:sz w:val="24"/>
    </w:rPr>
  </w:style>
  <w:style w:type="paragraph" w:styleId="Ttulo4">
    <w:name w:val="heading 4"/>
    <w:basedOn w:val="Normal"/>
    <w:next w:val="Normal"/>
    <w:link w:val="Ttulo4Char"/>
    <w:qFormat/>
    <w:rsid w:val="00D31C5C"/>
    <w:pPr>
      <w:keepNext/>
      <w:jc w:val="center"/>
      <w:outlineLvl w:val="3"/>
    </w:pPr>
    <w:rPr>
      <w:rFonts w:ascii="Book Antiqua" w:hAnsi="Book Antiqua"/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link w:val="Ttulo3"/>
    <w:rsid w:val="00D31C5C"/>
    <w:rPr>
      <w:rFonts w:ascii="Bookman Old Style" w:eastAsia="Times New Roman" w:hAnsi="Bookman Old Style" w:cs="Times New Roman"/>
      <w:b/>
      <w:i/>
      <w:sz w:val="24"/>
      <w:szCs w:val="20"/>
      <w:lang w:eastAsia="pt-BR"/>
    </w:rPr>
  </w:style>
  <w:style w:type="character" w:customStyle="1" w:styleId="Ttulo4Char">
    <w:name w:val="Título 4 Char"/>
    <w:link w:val="Ttulo4"/>
    <w:rsid w:val="00D31C5C"/>
    <w:rPr>
      <w:rFonts w:ascii="Book Antiqua" w:eastAsia="Times New Roman" w:hAnsi="Book Antiqua" w:cs="Times New Roman"/>
      <w:b/>
      <w:sz w:val="28"/>
      <w:szCs w:val="20"/>
      <w:lang w:eastAsia="pt-BR"/>
    </w:rPr>
  </w:style>
  <w:style w:type="character" w:styleId="Nmerodepgina">
    <w:name w:val="page number"/>
    <w:rsid w:val="00D31C5C"/>
    <w:rPr>
      <w:rFonts w:ascii="Verdana" w:hAnsi="Verdana"/>
      <w:sz w:val="18"/>
    </w:rPr>
  </w:style>
  <w:style w:type="paragraph" w:styleId="Recuodecorpodetexto">
    <w:name w:val="Body Text Indent"/>
    <w:basedOn w:val="Normal"/>
    <w:link w:val="RecuodecorpodetextoChar"/>
    <w:rsid w:val="00D31C5C"/>
    <w:pPr>
      <w:ind w:firstLine="1701"/>
      <w:jc w:val="both"/>
    </w:pPr>
    <w:rPr>
      <w:rFonts w:ascii="Courier New" w:hAnsi="Courier New"/>
      <w:sz w:val="24"/>
    </w:rPr>
  </w:style>
  <w:style w:type="character" w:customStyle="1" w:styleId="RecuodecorpodetextoChar">
    <w:name w:val="Recuo de corpo de texto Char"/>
    <w:link w:val="Recuodecorpodetexto"/>
    <w:rsid w:val="00D31C5C"/>
    <w:rPr>
      <w:rFonts w:ascii="Courier New" w:eastAsia="Times New Roman" w:hAnsi="Courier New" w:cs="Times New Roman"/>
      <w:sz w:val="24"/>
      <w:szCs w:val="20"/>
      <w:lang w:eastAsia="pt-BR"/>
    </w:rPr>
  </w:style>
  <w:style w:type="paragraph" w:styleId="Cabealho">
    <w:name w:val="header"/>
    <w:basedOn w:val="Normal"/>
    <w:link w:val="CabealhoChar"/>
    <w:rsid w:val="00D31C5C"/>
    <w:pPr>
      <w:tabs>
        <w:tab w:val="center" w:pos="4419"/>
        <w:tab w:val="right" w:pos="8838"/>
      </w:tabs>
    </w:pPr>
    <w:rPr>
      <w:rFonts w:ascii="Arial" w:hAnsi="Arial"/>
      <w:sz w:val="20"/>
    </w:rPr>
  </w:style>
  <w:style w:type="character" w:customStyle="1" w:styleId="CabealhoChar">
    <w:name w:val="Cabeçalho Char"/>
    <w:link w:val="Cabealho"/>
    <w:rsid w:val="00D31C5C"/>
    <w:rPr>
      <w:rFonts w:ascii="Arial" w:eastAsia="Times New Roman" w:hAnsi="Arial" w:cs="Times New Roman"/>
      <w:sz w:val="20"/>
      <w:szCs w:val="20"/>
      <w:lang w:eastAsia="pt-BR"/>
    </w:rPr>
  </w:style>
  <w:style w:type="paragraph" w:styleId="Rodap">
    <w:name w:val="footer"/>
    <w:basedOn w:val="Normal"/>
    <w:link w:val="RodapChar"/>
    <w:rsid w:val="00D31C5C"/>
    <w:pPr>
      <w:tabs>
        <w:tab w:val="center" w:pos="4419"/>
        <w:tab w:val="right" w:pos="8838"/>
      </w:tabs>
    </w:pPr>
    <w:rPr>
      <w:rFonts w:ascii="Arial" w:hAnsi="Arial"/>
      <w:sz w:val="20"/>
    </w:rPr>
  </w:style>
  <w:style w:type="character" w:customStyle="1" w:styleId="RodapChar">
    <w:name w:val="Rodapé Char"/>
    <w:link w:val="Rodap"/>
    <w:rsid w:val="00D31C5C"/>
    <w:rPr>
      <w:rFonts w:ascii="Arial" w:eastAsia="Times New Roman" w:hAnsi="Arial" w:cs="Times New Roman"/>
      <w:sz w:val="20"/>
      <w:szCs w:val="20"/>
      <w:lang w:eastAsia="pt-BR"/>
    </w:rPr>
  </w:style>
  <w:style w:type="paragraph" w:styleId="Recuodecorpodetexto2">
    <w:name w:val="Body Text Indent 2"/>
    <w:basedOn w:val="Normal"/>
    <w:link w:val="Recuodecorpodetexto2Char"/>
    <w:rsid w:val="00D31C5C"/>
    <w:pPr>
      <w:spacing w:line="360" w:lineRule="auto"/>
      <w:ind w:left="2127"/>
      <w:jc w:val="both"/>
    </w:pPr>
    <w:rPr>
      <w:rFonts w:ascii="Courier New" w:hAnsi="Courier New"/>
      <w:b/>
      <w:sz w:val="24"/>
    </w:rPr>
  </w:style>
  <w:style w:type="character" w:customStyle="1" w:styleId="Recuodecorpodetexto2Char">
    <w:name w:val="Recuo de corpo de texto 2 Char"/>
    <w:link w:val="Recuodecorpodetexto2"/>
    <w:rsid w:val="00D31C5C"/>
    <w:rPr>
      <w:rFonts w:ascii="Courier New" w:eastAsia="Times New Roman" w:hAnsi="Courier New" w:cs="Times New Roman"/>
      <w:b/>
      <w:sz w:val="24"/>
      <w:szCs w:val="20"/>
      <w:lang w:eastAsia="pt-BR"/>
    </w:rPr>
  </w:style>
  <w:style w:type="paragraph" w:styleId="Pr-formataoHTML">
    <w:name w:val="HTML Preformatted"/>
    <w:basedOn w:val="Normal"/>
    <w:link w:val="Pr-formataoHTMLChar"/>
    <w:uiPriority w:val="99"/>
    <w:rsid w:val="00D31C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cs="Courier New"/>
      <w:sz w:val="20"/>
    </w:rPr>
  </w:style>
  <w:style w:type="character" w:customStyle="1" w:styleId="Pr-formataoHTMLChar">
    <w:name w:val="Pré-formatação HTML Char"/>
    <w:link w:val="Pr-formataoHTML"/>
    <w:uiPriority w:val="99"/>
    <w:rsid w:val="00D31C5C"/>
    <w:rPr>
      <w:rFonts w:ascii="Verdana" w:eastAsia="Times New Roman" w:hAnsi="Verdana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265A500D9E75A4187596C335A730F04" ma:contentTypeVersion="6" ma:contentTypeDescription="Crie um novo documento." ma:contentTypeScope="" ma:versionID="24e3c85ac68404ddce5361c0cd4720ee">
  <xsd:schema xmlns:xsd="http://www.w3.org/2001/XMLSchema" xmlns:xs="http://www.w3.org/2001/XMLSchema" xmlns:p="http://schemas.microsoft.com/office/2006/metadata/properties" xmlns:ns2="02e99757-a194-41f7-92b9-bb32d67ecd21" xmlns:ns3="45ff75f7-77ec-4369-9126-ece81740ce50" targetNamespace="http://schemas.microsoft.com/office/2006/metadata/properties" ma:root="true" ma:fieldsID="39b09e5fc27711b76ccec586c4bf132e" ns2:_="" ns3:_="">
    <xsd:import namespace="02e99757-a194-41f7-92b9-bb32d67ecd21"/>
    <xsd:import namespace="45ff75f7-77ec-4369-9126-ece81740ce5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e99757-a194-41f7-92b9-bb32d67ecd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ff75f7-77ec-4369-9126-ece81740ce5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793613C-FCB1-41F8-81FF-DA540243C7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2e99757-a194-41f7-92b9-bb32d67ecd21"/>
    <ds:schemaRef ds:uri="45ff75f7-77ec-4369-9126-ece81740ce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7426FA2-1EC3-445D-91F5-B5D7760C9AC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79E758D-55E6-4CA9-A01A-EEA04C29959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1617</Words>
  <Characters>8736</Characters>
  <Application>Microsoft Office Word</Application>
  <DocSecurity>4</DocSecurity>
  <Lines>72</Lines>
  <Paragraphs>20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1</vt:i4>
      </vt:variant>
    </vt:vector>
  </HeadingPairs>
  <TitlesOfParts>
    <vt:vector size="2" baseType="lpstr">
      <vt:lpstr/>
      <vt:lpstr>        APELANTE: CARLA UILMA PEREIRA</vt:lpstr>
    </vt:vector>
  </TitlesOfParts>
  <Company/>
  <LinksUpToDate>false</LinksUpToDate>
  <CharactersWithSpaces>10333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ELISA LIN HUI WANG</dc:creator>
  <cp:keywords/>
  <dc:description/>
  <cp:lastModifiedBy>DENISE OLIVEIRA DOS SANTOS</cp:lastModifiedBy>
  <cp:revision>2</cp:revision>
  <dcterms:created xsi:type="dcterms:W3CDTF">2025-06-11T23:27:00Z</dcterms:created>
  <dcterms:modified xsi:type="dcterms:W3CDTF">2025-06-11T23:27:00Z</dcterms:modified>
</cp:coreProperties>
</file>