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22C" w:rsidRDefault="0038322C" w:rsidP="0038322C">
      <w:pPr>
        <w:spacing w:line="360" w:lineRule="auto"/>
        <w:rPr>
          <w:rFonts w:cs="Arial"/>
          <w:b/>
          <w:szCs w:val="24"/>
        </w:rPr>
      </w:pPr>
      <w:r/>
    </w:p>
    <w:p w:rsidR="0038322C" w:rsidRDefault="0038322C" w:rsidP="0038322C">
      <w:pPr>
        <w:spacing w:line="360" w:lineRule="auto"/>
        <w:rPr>
          <w:rFonts w:cs="Arial"/>
          <w:b/>
        </w:rPr>
      </w:pPr>
      <w:r/>
    </w:p>
    <w:p w:rsidR="00FF3899" w:rsidRPr="00FF3899" w:rsidRDefault="00FF3899" w:rsidP="00FF3899">
      <w:pPr>
        <w:autoSpaceDE w:val="0"/>
        <w:autoSpaceDN w:val="0"/>
        <w:adjustRightInd w:val="0"/>
        <w:spacing w:line="360" w:lineRule="auto"/>
        <w:rPr>
          <w:rFonts w:eastAsia="Calibri" w:cs="Arial"/>
          <w:b/>
          <w:bCs/>
          <w:szCs w:val="24"/>
        </w:rPr>
      </w:pPr>
      <w:r>
        <w:t>APELAÇÃO nº 1000919-32.2019</w:t>
      </w:r>
    </w:p>
    <w:p w:rsidR="00A16F60" w:rsidRDefault="00FF3899" w:rsidP="00FF3899">
      <w:pPr>
        <w:autoSpaceDE w:val="0"/>
        <w:autoSpaceDN w:val="0"/>
        <w:adjustRightInd w:val="0"/>
        <w:spacing w:line="360" w:lineRule="auto"/>
        <w:rPr>
          <w:rFonts w:eastAsia="Calibri" w:cs="Arial"/>
          <w:b/>
          <w:bCs/>
          <w:szCs w:val="24"/>
        </w:rPr>
      </w:pPr>
      <w:r>
        <w:t>VARA ÚNICA DA COMARCA DE FARTURA</w:t>
      </w:r>
    </w:p>
    <w:p w:rsidR="00FF3899" w:rsidRPr="00FF3899" w:rsidRDefault="00FF3899" w:rsidP="00FF3899">
      <w:pPr>
        <w:autoSpaceDE w:val="0"/>
        <w:autoSpaceDN w:val="0"/>
        <w:adjustRightInd w:val="0"/>
        <w:spacing w:line="360" w:lineRule="auto"/>
        <w:rPr>
          <w:rFonts w:eastAsia="Calibri" w:cs="Arial"/>
          <w:b/>
          <w:bCs/>
          <w:szCs w:val="24"/>
        </w:rPr>
      </w:pPr>
      <w:r>
        <w:t>Apelante: [APELANTE]</w:t>
      </w:r>
    </w:p>
    <w:p w:rsidR="00FF3899" w:rsidRPr="00FF3899" w:rsidRDefault="00FF3899" w:rsidP="00FF3899">
      <w:pPr>
        <w:autoSpaceDE w:val="0"/>
        <w:autoSpaceDN w:val="0"/>
        <w:adjustRightInd w:val="0"/>
        <w:spacing w:line="360" w:lineRule="auto"/>
        <w:rPr>
          <w:rFonts w:eastAsia="Calibri" w:cs="Arial"/>
          <w:b/>
          <w:bCs/>
          <w:szCs w:val="24"/>
        </w:rPr>
      </w:pPr>
      <w:r>
        <w:t>Apelado: [APELADO]</w:t>
      </w:r>
    </w:p>
    <w:p w:rsidR="00FF3899" w:rsidRPr="00FF3899" w:rsidRDefault="00FF3899" w:rsidP="00FF3899">
      <w:pPr>
        <w:autoSpaceDE w:val="0"/>
        <w:autoSpaceDN w:val="0"/>
        <w:adjustRightInd w:val="0"/>
        <w:spacing w:line="360" w:lineRule="auto"/>
        <w:rPr>
          <w:rFonts w:eastAsia="Calibri" w:cs="Arial"/>
          <w:b/>
          <w:bCs/>
          <w:szCs w:val="24"/>
        </w:rPr>
      </w:pPr>
      <w:r>
        <w:t>Juíza prolatora: Roberta de AUTOR(A)</w:t>
      </w:r>
    </w:p>
    <w:p w:rsidR="00FF3899" w:rsidRPr="00FF3899" w:rsidRDefault="00FF3899" w:rsidP="00FF3899">
      <w:pPr>
        <w:autoSpaceDE w:val="0"/>
        <w:autoSpaceDN w:val="0"/>
        <w:adjustRightInd w:val="0"/>
        <w:spacing w:line="360" w:lineRule="auto"/>
        <w:jc w:val="left"/>
        <w:rPr>
          <w:rFonts w:eastAsia="Calibri" w:cs="Arial"/>
          <w:b/>
          <w:bCs/>
          <w:szCs w:val="24"/>
        </w:rPr>
      </w:pPr>
      <w:r>
        <w:t>Relator(a): JOSÉ AUGUSTO GENOFRE MARTINS</w:t>
      </w:r>
    </w:p>
    <w:p w:rsidR="0038322C" w:rsidRDefault="00FF3899" w:rsidP="00E23E07">
      <w:pPr>
        <w:autoSpaceDE w:val="0"/>
        <w:autoSpaceDN w:val="0"/>
        <w:adjustRightInd w:val="0"/>
        <w:spacing w:line="360" w:lineRule="auto"/>
        <w:jc w:val="left"/>
        <w:rPr>
          <w:rFonts w:eastAsia="Calibri" w:cs="Arial"/>
          <w:b/>
          <w:bCs/>
          <w:szCs w:val="24"/>
        </w:rPr>
      </w:pPr>
      <w:r>
        <w:t>Órgão Julgador: 28ª Câmara de AUTOR(A)</w:t>
      </w:r>
    </w:p>
    <w:p w:rsidR="00E23E07" w:rsidRPr="00E23E07" w:rsidRDefault="00E23E07" w:rsidP="00E23E07">
      <w:pPr>
        <w:autoSpaceDE w:val="0"/>
        <w:autoSpaceDN w:val="0"/>
        <w:adjustRightInd w:val="0"/>
        <w:spacing w:line="360" w:lineRule="auto"/>
        <w:jc w:val="left"/>
        <w:rPr>
          <w:rFonts w:eastAsia="Calibri" w:cs="Arial"/>
          <w:b/>
          <w:bCs/>
          <w:szCs w:val="24"/>
        </w:rPr>
      </w:pPr>
      <w:r/>
    </w:p>
    <w:p w:rsidR="0038322C" w:rsidRPr="009A4887" w:rsidRDefault="0038322C" w:rsidP="0038322C">
      <w:pPr>
        <w:spacing w:line="360" w:lineRule="auto"/>
        <w:rPr>
          <w:rFonts w:cs="Arial"/>
          <w:bCs/>
        </w:rPr>
      </w:pPr>
      <w:r>
        <w:t>V O T O nº 8.194</w:t>
      </w:r>
    </w:p>
    <w:p w:rsidR="00465C76" w:rsidRDefault="00465C76" w:rsidP="00730E33">
      <w:pPr>
        <w:pStyle w:val="Recuodecorpodetexto"/>
        <w:ind w:firstLine="0"/>
        <w:rPr>
          <w:rFonts w:ascii="Arial" w:hAnsi="Arial" w:cs="Arial"/>
          <w:b/>
          <w:szCs w:val="24"/>
        </w:rPr>
      </w:pPr>
      <w:r/>
    </w:p>
    <w:p w:rsidR="00A413D6" w:rsidRDefault="00A413D6" w:rsidP="00730E33">
      <w:pPr>
        <w:pStyle w:val="Recuodecorpodetexto"/>
        <w:ind w:firstLine="0"/>
        <w:rPr>
          <w:rFonts w:ascii="Arial" w:hAnsi="Arial" w:cs="Arial"/>
          <w:b/>
          <w:szCs w:val="24"/>
        </w:rPr>
      </w:pPr>
      <w:r/>
    </w:p>
    <w:p w:rsidR="00C56A8B" w:rsidRPr="00475729" w:rsidRDefault="00C56A8B" w:rsidP="00730E33">
      <w:pPr>
        <w:pStyle w:val="Recuodecorpodetexto"/>
        <w:ind w:firstLine="0"/>
        <w:rPr>
          <w:rFonts w:ascii="Arial" w:hAnsi="Arial" w:cs="Arial"/>
          <w:b/>
          <w:szCs w:val="24"/>
        </w:rPr>
      </w:pPr>
      <w:r/>
    </w:p>
    <w:p w:rsidR="00A1166A" w:rsidRPr="00010200" w:rsidRDefault="00A75323" w:rsidP="00A16F60">
      <w:pPr>
        <w:pStyle w:val="Pr-formataoHTML"/>
        <w:shd w:val="clear" w:color="auto" w:fill="FFFFFF"/>
        <w:spacing w:line="360" w:lineRule="auto"/>
        <w:ind w:left="2126"/>
        <w:jc w:val="both"/>
        <w:textAlignment w:val="top"/>
        <w:rPr>
          <w:rFonts w:ascii="Arial" w:hAnsi="Arial" w:cs="Arial"/>
          <w:b/>
          <w:sz w:val="22"/>
          <w:szCs w:val="22"/>
          <w:highlight w:val="yellow"/>
        </w:rPr>
      </w:pPr>
      <w:r>
        <w:t>APELAÇÃO – DECLARATÓRIA DE INEXISTÊNCIA DE DÉBITO CUMULADA COM OBRIGAÇÃO DE NÃO FAZER, REPETIÇÃO DE INDÉBITO E INDENIZAÇÃO POR DANOS MATERIAS E MORAIS – Pretensão autoral voltada à declaração de inexigibilidade de débito e reparação de danos morais e materiais – Autora alega não reconhecer sua assinatura constante da proposta de adesão a seguro pessoal, aduzindo ser falsa – Inversão do ônus da prova, nos termos do art. 429, II, CPC – Perícia feita em fotocópia digital – Perito conclui pela autenticidade da assinatura, mas pondera, em resposta a quesito, que não é possível a identificação de alguns elementos em cópia digitalizada – Obrigação da parte em preservar o documento original – Perícia que, embora bem fundamentada e realizada a partir dos elementos possíveis, não afasta a prejudicialidade da não apresentação do documento firmado – Réu não se desincumbiu do ônus probatório – Inexistência do débito reconhecida, condenada a ré à devolução em dobro do valor debitado e ao pagamento de indenização por danos morais, fixada em R$ 4.000,00 – Sucumbência a cargo da vencida –  Recurso provido.</w:t>
      </w:r>
    </w:p>
    <w:p w:rsidR="00B10065" w:rsidRPr="00475729" w:rsidRDefault="00B10065" w:rsidP="00AA4B29">
      <w:pPr>
        <w:pStyle w:val="Recuodecorpodetexto2"/>
        <w:spacing w:line="240" w:lineRule="auto"/>
        <w:ind w:left="0"/>
        <w:rPr>
          <w:rFonts w:cs="Arial"/>
          <w:szCs w:val="24"/>
        </w:rPr>
      </w:pPr>
      <w:r/>
    </w:p>
    <w:p w:rsidR="001D4DA1" w:rsidRDefault="001D4DA1" w:rsidP="00A75323">
      <w:pPr>
        <w:pStyle w:val="Recuodecorpodetexto"/>
        <w:spacing w:line="360" w:lineRule="auto"/>
        <w:ind w:firstLine="0"/>
        <w:rPr>
          <w:rFonts w:ascii="Arial" w:hAnsi="Arial" w:cs="Arial"/>
          <w:szCs w:val="24"/>
        </w:rPr>
      </w:pPr>
      <w:r/>
    </w:p>
    <w:p w:rsidR="00534953" w:rsidRPr="00475729" w:rsidRDefault="00534953" w:rsidP="00A75323">
      <w:pPr>
        <w:pStyle w:val="Recuodecorpodetexto"/>
        <w:spacing w:line="360" w:lineRule="auto"/>
        <w:ind w:firstLine="0"/>
        <w:rPr>
          <w:rFonts w:ascii="Arial" w:hAnsi="Arial" w:cs="Arial"/>
          <w:szCs w:val="24"/>
        </w:rPr>
      </w:pPr>
      <w:r/>
    </w:p>
    <w:p w:rsidR="00465C76" w:rsidRPr="00475729" w:rsidRDefault="00465C76" w:rsidP="00A75323">
      <w:pPr>
        <w:pStyle w:val="Recuodecorpodetexto"/>
        <w:spacing w:line="360" w:lineRule="auto"/>
        <w:ind w:firstLine="2127"/>
        <w:rPr>
          <w:rFonts w:ascii="Arial" w:hAnsi="Arial" w:cs="Arial"/>
          <w:b/>
          <w:szCs w:val="24"/>
        </w:rPr>
      </w:pPr>
      <w:r>
        <w:t>.</w:t>
      </w:r>
    </w:p>
    <w:p w:rsidR="00465C76" w:rsidRDefault="00465C76" w:rsidP="00A75323">
      <w:pPr>
        <w:pStyle w:val="Recuodecorpodetexto"/>
        <w:spacing w:line="360" w:lineRule="auto"/>
        <w:ind w:firstLine="2127"/>
        <w:rPr>
          <w:rFonts w:ascii="Arial" w:hAnsi="Arial" w:cs="Arial"/>
          <w:szCs w:val="24"/>
        </w:rPr>
      </w:pPr>
      <w:r/>
    </w:p>
    <w:p w:rsidR="00534953" w:rsidRDefault="00534953" w:rsidP="00A75323">
      <w:pPr>
        <w:pStyle w:val="Recuodecorpodetexto"/>
        <w:spacing w:line="360" w:lineRule="auto"/>
        <w:ind w:firstLine="2127"/>
        <w:rPr>
          <w:rFonts w:ascii="Arial" w:hAnsi="Arial" w:cs="Arial"/>
          <w:szCs w:val="24"/>
        </w:rPr>
      </w:pPr>
      <w:r/>
    </w:p>
    <w:p w:rsidR="009F62E6" w:rsidRDefault="009F62E6" w:rsidP="00E23E07">
      <w:pPr>
        <w:pStyle w:val="Voto"/>
        <w:ind w:firstLine="1985"/>
        <w:rPr>
          <w:rStyle w:val="Char"/>
        </w:rPr>
      </w:pPr>
      <w:r>
        <w:t xml:space="preserve">Trata-se de ação declaratória de inexistência de débito cumulada com obrigação de não fazer, repetição de indébito e indenização por danos materiais e morais, com pedido de tutela de urgência, ajuizada por Nazira de AUTOR(A) em face de AUTOR(A) S.A., julgada improcedente pela r. sentença de fls. 161/163, cujo relatório se adota. </w:t>
      </w:r>
    </w:p>
    <w:p w:rsidR="008270A7" w:rsidRDefault="009F62E6" w:rsidP="00E23E07">
      <w:pPr>
        <w:pStyle w:val="Voto"/>
        <w:ind w:firstLine="1985"/>
        <w:rPr>
          <w:rStyle w:val="Char"/>
        </w:rPr>
      </w:pPr>
      <w:r>
        <w:t xml:space="preserve">Inconformada, recorre a parte autora (fls. 166/173). </w:t>
      </w:r>
    </w:p>
    <w:p w:rsidR="0001405E" w:rsidRDefault="008270A7" w:rsidP="00E23E07">
      <w:pPr>
        <w:pStyle w:val="Voto"/>
        <w:ind w:firstLine="1985"/>
        <w:rPr>
          <w:rStyle w:val="Char"/>
        </w:rPr>
      </w:pPr>
      <w:r>
        <w:t xml:space="preserve">O autor aduz, preliminarmente, que houve cerceamento de defesa em razão de realização de perícia em fotocópia digital do documento questionado. Sustenta que o juízo de primeiro grau deferiu a produção de prova pericial requerida pela autora e determinou que a ré depositasse a via original do documento questionado em cartório para a realização da perícia, sob pena de preclusão da prova técnica (fl 89). Refere que não concordava com o uso de fotocópia digital para a perícia grafotécnica e que o juiz de primeiro grau modificou a decisão sobre a realização da perícia grafotécnica em documento original, permitindo que esta fosse realizada com cópia digitalizada. Pugna, ao final, pela reforma da sentença para reconhecer a preclusão da prova pericial em razão da ausência da via original do documento questionado e para julgar a ação procedente nos termos da inicial.  </w:t>
      </w:r>
    </w:p>
    <w:p w:rsidR="00FF3899" w:rsidRDefault="009F62E6" w:rsidP="00E23E07">
      <w:pPr>
        <w:pStyle w:val="Voto"/>
        <w:ind w:firstLine="1985"/>
      </w:pPr>
      <w:r>
        <w:t>Recurso tempestivo, isento de preparo em razão da gratuidade judiciária concedida à autora e regularmente processado com contrarrazões (fls. 177/180).</w:t>
      </w:r>
    </w:p>
    <w:p w:rsidR="009F62E6" w:rsidRDefault="006D72E8" w:rsidP="004152EF">
      <w:pPr>
        <w:pStyle w:val="Voto"/>
        <w:ind w:firstLine="1985"/>
        <w:rPr>
          <w:rFonts w:cs="Arial"/>
        </w:rPr>
      </w:pPr>
      <w:r>
        <w:t>Ausente qualquer manifestação de eventual oposição ao julgamento virtual.</w:t>
      </w:r>
    </w:p>
    <w:p w:rsidR="00EE5330" w:rsidRPr="004152EF" w:rsidRDefault="00EE5330" w:rsidP="004152EF">
      <w:pPr>
        <w:pStyle w:val="Voto"/>
        <w:ind w:firstLine="1985"/>
        <w:rPr>
          <w:rFonts w:cs="Arial"/>
          <w:szCs w:val="22"/>
        </w:rPr>
      </w:pPr>
      <w:r/>
    </w:p>
    <w:p w:rsidR="007534C5" w:rsidRPr="004152EF" w:rsidRDefault="00465C76" w:rsidP="004152EF">
      <w:pPr>
        <w:spacing w:line="360" w:lineRule="auto"/>
        <w:ind w:firstLine="2127"/>
        <w:rPr>
          <w:rFonts w:cs="Arial"/>
          <w:szCs w:val="24"/>
        </w:rPr>
      </w:pPr>
      <w:r>
        <w:t>É o relatório.</w:t>
      </w:r>
    </w:p>
    <w:p w:rsidR="00EE5330" w:rsidRDefault="00EE5330" w:rsidP="007534C5">
      <w:pPr>
        <w:spacing w:line="360" w:lineRule="auto"/>
        <w:ind w:firstLine="2127"/>
        <w:rPr>
          <w:rFonts w:cs="Arial"/>
          <w:bCs/>
          <w:color w:val="000000"/>
        </w:rPr>
      </w:pPr>
      <w:r/>
    </w:p>
    <w:p w:rsidR="007534C5" w:rsidRDefault="009266FB" w:rsidP="007534C5">
      <w:pPr>
        <w:spacing w:line="360" w:lineRule="auto"/>
        <w:ind w:firstLine="2127"/>
        <w:rPr>
          <w:rFonts w:cs="Arial"/>
          <w:szCs w:val="24"/>
        </w:rPr>
      </w:pPr>
      <w:r>
        <w:t>Respeitados os argumentos expostos nas r. sentença, pelo meu voto, dou provimento ao recurso.</w:t>
      </w:r>
    </w:p>
    <w:p w:rsidR="007534C5" w:rsidRDefault="00F866F3" w:rsidP="007534C5">
      <w:pPr>
        <w:spacing w:line="360" w:lineRule="auto"/>
        <w:ind w:firstLine="2127"/>
        <w:rPr>
          <w:rFonts w:cs="Arial"/>
          <w:szCs w:val="24"/>
        </w:rPr>
      </w:pPr>
      <w:r>
        <w:t>A controvérsia ora discutida nos autos versa sobre a veracidade e legitimidade da assinatura da autora em proposta de adesão a seguro pessoal. A autora nega que tenha contratado qualquer serviço dessa natureza ofertado pela ré.</w:t>
      </w:r>
    </w:p>
    <w:p w:rsidR="007534C5" w:rsidRDefault="00F866F3" w:rsidP="007534C5">
      <w:pPr>
        <w:spacing w:line="360" w:lineRule="auto"/>
        <w:ind w:firstLine="2127"/>
        <w:rPr>
          <w:rFonts w:cs="Arial"/>
          <w:szCs w:val="24"/>
        </w:rPr>
      </w:pPr>
      <w:r>
        <w:t>Pois bem.</w:t>
      </w:r>
    </w:p>
    <w:p w:rsidR="007534C5" w:rsidRDefault="00A92133" w:rsidP="007534C5">
      <w:pPr>
        <w:spacing w:line="360" w:lineRule="auto"/>
        <w:ind w:firstLine="2127"/>
        <w:rPr>
          <w:rFonts w:cs="Arial"/>
          <w:szCs w:val="24"/>
        </w:rPr>
      </w:pPr>
      <w:r>
        <w:t xml:space="preserve">Inicialmente, afasto a preliminar de cerceamento de defesa arguida pela autora. Isso porque foi oportunizada a produção de provas de igual maneira para ambas as partes.  </w:t>
      </w:r>
    </w:p>
    <w:p w:rsidR="007534C5" w:rsidRDefault="009A3699" w:rsidP="007534C5">
      <w:pPr>
        <w:spacing w:line="360" w:lineRule="auto"/>
        <w:ind w:firstLine="2127"/>
        <w:rPr>
          <w:rFonts w:cs="Arial"/>
          <w:szCs w:val="24"/>
        </w:rPr>
      </w:pPr>
      <w:r>
        <w:t>Consoante se verifica nos autos de origem, o magistrado determinou que a via original da proposta de adesão a seguro pessoal fosse depositada em cartório para viabilizar a realização de perícia grafotécnica, sob pena de preclusão na hipótese do não cumprimento (fl. 89). A requerida informou que não localizou o contrato em comento, asseverando que a perícia restaria prejudicada (fl. 96).</w:t>
      </w:r>
    </w:p>
    <w:p w:rsidR="007534C5" w:rsidRDefault="00D22C86" w:rsidP="007534C5">
      <w:pPr>
        <w:spacing w:line="360" w:lineRule="auto"/>
        <w:ind w:firstLine="2127"/>
        <w:rPr>
          <w:rFonts w:cs="Arial"/>
          <w:szCs w:val="24"/>
        </w:rPr>
      </w:pPr>
      <w:r>
        <w:t xml:space="preserve">Diante de tal afirmação, a autora requereu, às fls. 119, que fosse declarada a preclusão da prova técnica em razão do não cumprimento da r. decisão de fls. 89/90. Alternativamente, requereu que fosse realizado exame documentoscópico, visando comprovar que houve cópia e colagem digital da assinatura. Em seguida, a requerida peticionou novamente que não possuía a via original da proposta (fl. 121). </w:t>
      </w:r>
    </w:p>
    <w:p w:rsidR="00FC0A4A" w:rsidRPr="007534C5" w:rsidRDefault="00D22C86" w:rsidP="007534C5">
      <w:pPr>
        <w:spacing w:line="360" w:lineRule="auto"/>
        <w:ind w:firstLine="2127"/>
        <w:rPr>
          <w:rFonts w:cs="Arial"/>
          <w:szCs w:val="24"/>
        </w:rPr>
      </w:pPr>
      <w:r>
        <w:t>Adveio, então, decisão que manteve a realização da perícia (fl. 122). Na hipótese dos autos, contudo, tenho que a perícia não poderia ter sido realizada em simples fotocópia da apólice, por força do art. 422, do CPC, que transcrevo a seguir:</w:t>
      </w:r>
    </w:p>
    <w:p w:rsidR="00F03CF6" w:rsidRPr="00F03CF6" w:rsidRDefault="00F03CF6" w:rsidP="00E23E07">
      <w:pPr>
        <w:spacing w:line="360" w:lineRule="auto"/>
        <w:ind w:firstLine="1985"/>
        <w:rPr>
          <w:rFonts w:cs="Arial"/>
          <w:b/>
          <w:bCs/>
          <w:iCs/>
        </w:rPr>
      </w:pPr>
      <w:r/>
    </w:p>
    <w:p w:rsidR="00F03CF6" w:rsidRPr="004152EF" w:rsidRDefault="00F03CF6" w:rsidP="00E23E07">
      <w:pPr>
        <w:spacing w:line="360" w:lineRule="auto"/>
        <w:ind w:firstLine="1985"/>
        <w:rPr>
          <w:rFonts w:cs="Arial"/>
          <w:b/>
          <w:bCs/>
          <w:iCs/>
          <w:sz w:val="22"/>
          <w:szCs w:val="22"/>
        </w:rPr>
      </w:pPr>
      <w:r>
        <w:t>“Art. 422. Qualquer reprodução mecânica, como a fotográfica, a cinematográfica, a fonográfica ou de outra espécie, tem aptidão para fazer prova dos fatos ou das coisas representadas, se a sua conformidade com o documento original não for impugnada por aquele contra quem foi produzida”.</w:t>
      </w:r>
    </w:p>
    <w:p w:rsidR="00DD30BB" w:rsidRDefault="00DD30BB" w:rsidP="00F03CF6">
      <w:pPr>
        <w:spacing w:line="360" w:lineRule="auto"/>
        <w:rPr>
          <w:rFonts w:cs="Arial"/>
          <w:iCs/>
        </w:rPr>
      </w:pPr>
      <w:r/>
    </w:p>
    <w:p w:rsidR="00DD30BB" w:rsidRDefault="00DD30BB" w:rsidP="00711633">
      <w:pPr>
        <w:spacing w:line="360" w:lineRule="auto"/>
        <w:ind w:firstLine="2268"/>
        <w:rPr>
          <w:rFonts w:cs="Arial"/>
          <w:iCs/>
        </w:rPr>
      </w:pPr>
      <w:r>
        <w:t xml:space="preserve">Destaco, ainda, trecho da r. sentença proferida: </w:t>
      </w:r>
    </w:p>
    <w:p w:rsidR="00DD30BB" w:rsidRDefault="00DD30BB" w:rsidP="00711633">
      <w:pPr>
        <w:spacing w:line="360" w:lineRule="auto"/>
        <w:ind w:firstLine="2268"/>
        <w:rPr>
          <w:rFonts w:cs="Arial"/>
          <w:iCs/>
        </w:rPr>
      </w:pPr>
      <w:r/>
    </w:p>
    <w:p w:rsidR="00DD30BB" w:rsidRPr="00E23E07" w:rsidRDefault="00DD30BB" w:rsidP="00DD30BB">
      <w:pPr>
        <w:spacing w:line="360" w:lineRule="auto"/>
        <w:ind w:firstLine="2268"/>
        <w:rPr>
          <w:rFonts w:cs="Arial"/>
          <w:b/>
          <w:bCs/>
          <w:iCs/>
          <w:sz w:val="22"/>
          <w:szCs w:val="22"/>
        </w:rPr>
      </w:pPr>
      <w:r>
        <w:t>“(...) Após ampla instrução probatória, o feito encontra-se maduro para julgamento, daí por que passo ao exame da controvérsia. Descabe realização de nova perícia, eis que o laudo foi feito por profissional devidamente capacitado. Além disso, na impossibilidade de realização da perícia no documento original, é cabível a perícia no documento digitalizado, não havendo óbice para tanto”.</w:t>
      </w:r>
    </w:p>
    <w:p w:rsidR="00DD30BB" w:rsidRDefault="00DD30BB" w:rsidP="00711633">
      <w:pPr>
        <w:spacing w:line="360" w:lineRule="auto"/>
        <w:ind w:firstLine="2268"/>
        <w:rPr>
          <w:rFonts w:cs="Arial"/>
          <w:iCs/>
        </w:rPr>
      </w:pPr>
      <w:r/>
    </w:p>
    <w:p w:rsidR="00D22C86" w:rsidRDefault="00DD30BB" w:rsidP="0020218A">
      <w:pPr>
        <w:spacing w:line="360" w:lineRule="auto"/>
        <w:ind w:firstLine="2268"/>
        <w:rPr>
          <w:rFonts w:cs="Arial"/>
          <w:iCs/>
        </w:rPr>
      </w:pPr>
      <w:r>
        <w:t>Com todo o respeito ao entendimento adotado no juízo de 1º grau, é incontroverso que o requerido simplesmente informou não ter encontrado a via original em seu arquivo, sem demonstrar razão plausível para tal ou comprovar a tal impossibilidade alegada.  Frise-se, ainda, que o documento de fl. 71 não se trata de mídia digital do contrato, e sim de simples fotocópia digital que, importante consignar, foi impugnada pela autora.</w:t>
      </w:r>
    </w:p>
    <w:p w:rsidR="007D18E2" w:rsidRDefault="007D18E2" w:rsidP="008B2D8E">
      <w:pPr>
        <w:spacing w:line="360" w:lineRule="auto"/>
        <w:rPr>
          <w:rFonts w:cs="Arial"/>
          <w:iCs/>
        </w:rPr>
      </w:pPr>
      <w:r/>
    </w:p>
    <w:p w:rsidR="009266FB" w:rsidRDefault="008B2D8E" w:rsidP="009266FB">
      <w:pPr>
        <w:spacing w:line="360" w:lineRule="auto"/>
        <w:ind w:firstLine="2268"/>
        <w:rPr>
          <w:rFonts w:cs="Arial"/>
          <w:iCs/>
        </w:rPr>
      </w:pPr>
      <w:r>
        <w:t xml:space="preserve">Por fim, a prova da legitimidade do contrato deveria ser facilmente obtida pela ré, que detém em seus registros as informações e documentação pertinentes aos contratos de seus clientes. No entanto, no caso em análise, a perícia grafotécnica foi realizada com fulcro na fotocópia digital da proposta e, em que pese o perito nomeado ter concluído pela legitimidade da assinatura, é certo que admitiu, em resposta ao último quesito da autora, que algumas análises seriam prejudicadas devido à falta da perícia no documento original, consoante se verifica do item 9 do lado pericial (fl. 142), que transcrevo a seguir: </w:t>
      </w:r>
    </w:p>
    <w:p w:rsidR="009266FB" w:rsidRPr="007534C5" w:rsidRDefault="009266FB" w:rsidP="009266FB">
      <w:pPr>
        <w:spacing w:line="360" w:lineRule="auto"/>
        <w:ind w:firstLine="2268"/>
        <w:rPr>
          <w:rFonts w:cs="Arial"/>
          <w:b/>
          <w:bCs/>
          <w:iCs/>
          <w:sz w:val="22"/>
          <w:szCs w:val="22"/>
        </w:rPr>
      </w:pPr>
      <w:r>
        <w:t>“(...) 9. É possível fazer a análise gráfica E SE AFIRMAR, COM CERTEZA, entre o material colhido do punho do autor e UMA MERA CÓPIA DIGITALIZADA do documento a ser analisado, A “PRESSÃO”, BEM COMO O “CALIBRE”, OS “MÍNIMOS GRÁFICOS” E OS “MOMENTOS GRÁFICOS”, dentre outros elementos importantes que na cópia digitalizada não constará, por se tratar de outro papel onde o instrumento escritor (caneta ou similar) não tocou?</w:t>
      </w:r>
    </w:p>
    <w:p w:rsidR="009266FB" w:rsidRPr="009266FB" w:rsidRDefault="009266FB" w:rsidP="009266FB">
      <w:pPr>
        <w:spacing w:line="360" w:lineRule="auto"/>
        <w:ind w:firstLine="2268"/>
        <w:rPr>
          <w:rFonts w:cs="Arial"/>
          <w:b/>
          <w:bCs/>
          <w:i/>
        </w:rPr>
      </w:pPr>
      <w:r>
        <w:t>Resp. O documento questionado acostado ao processo trata-se de um documento digitalizado, que não é possível a identificação de alguns elementos de padrões genéticos, podendo ser utilizado de outras metodologias, dependendo do documento e da resolução de sua imagem”.</w:t>
      </w:r>
    </w:p>
    <w:p w:rsidR="008F5A85" w:rsidRDefault="008F5A85" w:rsidP="00DD30BB">
      <w:pPr>
        <w:spacing w:line="360" w:lineRule="auto"/>
        <w:ind w:firstLine="2268"/>
        <w:rPr>
          <w:rFonts w:cs="Arial"/>
          <w:iCs/>
        </w:rPr>
      </w:pPr>
      <w:r/>
    </w:p>
    <w:p w:rsidR="00076967" w:rsidRDefault="008B2D8E" w:rsidP="00B928A7">
      <w:pPr>
        <w:spacing w:line="360" w:lineRule="auto"/>
        <w:ind w:firstLine="2268"/>
        <w:rPr>
          <w:rFonts w:cs="Arial"/>
          <w:iCs/>
        </w:rPr>
      </w:pPr>
      <w:r>
        <w:t>Sobre o tema, confira-se:</w:t>
      </w:r>
    </w:p>
    <w:p w:rsidR="00076967" w:rsidRDefault="00076967" w:rsidP="00B928A7">
      <w:pPr>
        <w:spacing w:line="360" w:lineRule="auto"/>
        <w:ind w:firstLine="2268"/>
        <w:rPr>
          <w:rFonts w:cs="Arial"/>
          <w:iCs/>
        </w:rPr>
      </w:pPr>
      <w:r/>
    </w:p>
    <w:p w:rsidR="007534C5" w:rsidRDefault="007534C5" w:rsidP="00DD30BB">
      <w:pPr>
        <w:spacing w:line="360" w:lineRule="auto"/>
        <w:ind w:firstLine="2268"/>
        <w:rPr>
          <w:rFonts w:cs="Arial"/>
          <w:color w:val="000000"/>
          <w:szCs w:val="24"/>
          <w:bdr w:val="none" w:sz="0" w:space="0" w:color="auto" w:frame="1"/>
          <w:shd w:val="clear" w:color="auto" w:fill="FFFFFF"/>
        </w:rPr>
      </w:pPr>
      <w:r>
        <w:t>“SEGURO DE VIDA. Ação declaratória de inexigibilidade de débito c/c indenização por danos morais. Sentença de improcedência. Insurgência da autora. Perícia grafotécnica realizada que apontou que a assinatura do documento partiu do punho da autora, porém ressaltou a necessidade de exame do documento original. Perícia inconclusiva. Contratação da apólice não comprovada. Descontos indevidos das mensalidades. Defeito na prestação do serviço a justificar a devolução em dobro dos valores. Art. 42, parágrafo único do CDC. Indenização por danos morais caracterizada. Quantum indenizatório fixado em R$3.000,00 (três mil reais). Sentença modificada. Recurso provido.” (TJSP; Apelação Cível 0000000-00.0000.0.00.0000; Relator (a): Maria de AUTOR(A); Órgão Julgador: 26ª Câmara de AUTOR(A); Foro de Paraguaçu Paulista - 1ª Vara; Data do Julgamento: 11/10/2022; Data de Registro: 11/10/2022)</w:t>
      </w:r>
    </w:p>
    <w:p w:rsidR="009E52E6" w:rsidRDefault="009E52E6" w:rsidP="00DD30BB">
      <w:pPr>
        <w:spacing w:line="360" w:lineRule="auto"/>
        <w:ind w:firstLine="2268"/>
        <w:rPr>
          <w:rFonts w:cs="Arial"/>
          <w:b/>
          <w:bCs/>
          <w:iCs/>
          <w:sz w:val="22"/>
          <w:szCs w:val="22"/>
        </w:rPr>
      </w:pPr>
      <w:r/>
    </w:p>
    <w:p w:rsidR="00991520" w:rsidRPr="00DD30BB" w:rsidRDefault="00991520" w:rsidP="00DD30BB">
      <w:pPr>
        <w:spacing w:line="360" w:lineRule="auto"/>
        <w:ind w:firstLine="2268"/>
        <w:rPr>
          <w:rFonts w:cs="Arial"/>
          <w:iCs/>
        </w:rPr>
      </w:pPr>
      <w:r>
        <w:t>“AÇÃO DECLARATÓRIA CUMULADA COM PEDIDOS DE REPETIÇÃO DE INDÉBITO E INDENIZAÇÃO POR DANOS MORAIS – DESCONTOS MENSAIS DE PRÊMIO NA CONTA BANCÁRIA DO AUTOR – CONTRATAÇÃO NEGADA E NÃO DEMONSTRADA – PERÍCIA GRAFOTÉCNICA PREJUDICADA ANTE A AUSÊNCIA DE APRESENTAÇÃO DO CONTRATO ORIGINAL – DANO MORAL – INDENIZAÇÃO ARBITRADA EM VALOR INSUFICIENTE PARA COMPENSAR O ABALO MORAL EXPERIMENTADO – MAJORAÇÃO DO QUANTUM FIXADO – CABIMENTO – JUROS MORATÓRIOS – TERMO INICIAL – EVENTO DANOSO – SÚMULA 54 DO STJ E ARTIGO 398 DO CC – HONORÁRIOS DE SUCUMBÊNCIA ARBITRADOS EM QUANTIA IRRISÓRIA – RECONHECIMENTO – ELEVAÇÃO – SENTENÇA MODIFICADA NESSES ASPECTOS. APELAÇÃO PARCIALMENTE PROVIDA.” (TJSP; Apelação Cível 0000000-00.0000.0.00.0000; Relator (a): AUTOR(A); Órgão Julgador: 30ª Câmara de AUTOR(A); Foro de São José do AUTOR(A) - [VARA]; Data do Julgamento: 19/01/2022; Data de Registro: 19/01/2022)</w:t>
      </w:r>
    </w:p>
    <w:p w:rsidR="00DD30BB" w:rsidRDefault="00DD30BB" w:rsidP="00991520">
      <w:pPr>
        <w:spacing w:line="360" w:lineRule="auto"/>
        <w:ind w:firstLine="2268"/>
        <w:rPr>
          <w:rFonts w:cs="Arial"/>
          <w:b/>
          <w:bCs/>
          <w:iCs/>
        </w:rPr>
      </w:pPr>
      <w:r/>
    </w:p>
    <w:p w:rsidR="007534C5" w:rsidRDefault="00DD30BB" w:rsidP="007534C5">
      <w:pPr>
        <w:spacing w:line="360" w:lineRule="auto"/>
        <w:ind w:firstLine="2268"/>
        <w:rPr>
          <w:rFonts w:cs="Arial"/>
          <w:iCs/>
        </w:rPr>
      </w:pPr>
      <w:r>
        <w:t>“AÇÃO DECLARATÓRIA DE INEXISTÊNCIA DE DÉBITO E INDENIZATÓRIA – CONTRATAÇÃO FRAUDULENTA DE APÓLICE DE SEGURO – DESCONTOS MENSAIS DOS PRÊMIOS NA CONTA BANCÁRIA DO AUTOR – ALEGAÇÃO DE FALSIDADE DA ASSINATURA DO AUTOR NA PROPOSTA DE ADESÃO – PERÍCIA GRAFOTÉCNICA PREJUDICADA ANTE A AUSÊNCIA DE APRESENTAÇÃO DOS DOCUMENTOS ORIGINAIS – DESCONTOS INDEVIDOS – RECONHECIMENTO – DANO MORAL – CARACTERIZAÇÃO – INDENIZAÇÃO DEVIDA – MONTANTE FIXADO COM RAZOABILIDADE E PROPORCIONALIDADE – REDUÇÃO – IMPOSSIBILIDADE – SENTENÇA MANTIDA RECURSO DESPROVIDO” (TJSP; Apelação Cível 0000000-00.0000.0.00.0000; Relator (a): AUTOR(A); Órgão Julgador: 30ª Câmara de AUTOR(A); Foro de Registro - 1ª Vara; Data do Julgamento: 17/12/2021; Data de Registro: 17/12/2021).</w:t>
      </w:r>
    </w:p>
    <w:p w:rsidR="007534C5" w:rsidRDefault="007534C5" w:rsidP="007534C5">
      <w:pPr>
        <w:spacing w:line="360" w:lineRule="auto"/>
        <w:ind w:firstLine="2268"/>
        <w:rPr>
          <w:rFonts w:cs="Arial"/>
          <w:iCs/>
        </w:rPr>
      </w:pPr>
      <w:r/>
    </w:p>
    <w:p w:rsidR="004152EF" w:rsidRDefault="003E610D" w:rsidP="004152EF">
      <w:pPr>
        <w:spacing w:line="360" w:lineRule="auto"/>
        <w:ind w:firstLine="2268"/>
        <w:rPr>
          <w:rFonts w:cs="Arial"/>
          <w:iCs/>
        </w:rPr>
      </w:pPr>
      <w:r>
        <w:t xml:space="preserve">Por fim, importante destacar que o ônus da prova incumbia ao requerido, consoante determina o art. 429, inciso II, do CPC. Assim, como o réu não apresentou a apólice original para ser periciada, e considerando a resposta ao quesito 9 (fl. 142), entendo que a perícia restou prejudicada. Não tendo provado fato impeditivo, modificativo ou extintivo do direito da autora, entendo que deve ser declarada a inexistência do débito, com consequente devolução dos valores descontados, a serem apurados em sede de cumprimento de sentença. </w:t>
      </w:r>
    </w:p>
    <w:p w:rsidR="004152EF" w:rsidRDefault="00110DCF" w:rsidP="004152EF">
      <w:pPr>
        <w:spacing w:line="360" w:lineRule="auto"/>
        <w:ind w:firstLine="2268"/>
        <w:rPr>
          <w:rFonts w:cs="Arial"/>
          <w:iCs/>
        </w:rPr>
      </w:pPr>
      <w:r>
        <w:t>Merece ênfase que a autora, que é beneficiária da gratuidade judiciária e aufere rendimentos provenientes de benefício previdenciário, foi submetida a dano material que atingiu valores mensais disponíveis para suas necessidades básicas de subsistência, o que importa em evidente abalo moral.</w:t>
      </w:r>
    </w:p>
    <w:p w:rsidR="004152EF" w:rsidRDefault="00110DCF" w:rsidP="004152EF">
      <w:pPr>
        <w:spacing w:line="360" w:lineRule="auto"/>
        <w:ind w:firstLine="2268"/>
        <w:rPr>
          <w:rFonts w:cs="Arial"/>
          <w:iCs/>
        </w:rPr>
      </w:pPr>
      <w:r>
        <w:t xml:space="preserve">Portanto, diante da necessidade de desestimular reiteração da conduta do apelado, bem como reparar o dano moral experimentado pela autora, resta , a  , que a sentença deve ser reformada para condenar a ré ao pagamento de indenização por danos morais à autora. </w:t>
      </w:r>
    </w:p>
    <w:p w:rsidR="004152EF" w:rsidRDefault="00110DCF" w:rsidP="004152EF">
      <w:pPr>
        <w:spacing w:line="360" w:lineRule="auto"/>
        <w:ind w:firstLine="2268"/>
        <w:rPr>
          <w:rFonts w:cs="Arial"/>
          <w:iCs/>
        </w:rPr>
      </w:pPr>
      <w:r>
        <w:t>Passo, então, à aferição do quantum indenizatório.</w:t>
      </w:r>
    </w:p>
    <w:p w:rsidR="004152EF" w:rsidRDefault="00110DCF" w:rsidP="004152EF">
      <w:pPr>
        <w:spacing w:line="360" w:lineRule="auto"/>
        <w:ind w:firstLine="2268"/>
        <w:rPr>
          <w:rFonts w:cs="Arial"/>
          <w:iCs/>
        </w:rPr>
      </w:pPr>
      <w:r>
        <w:t xml:space="preserve">Com efeito, o arbitramento deve buscar equilibrar a reparação do dano moral com os princípios da proporcionalidade e da razoabilidade, garantindo que a indenização seja adequada para compensar o prejuízo moral sofrido pela vítima, sem ensejar enriquecimento sem causa ou punição excessiva ao ofensor. </w:t>
      </w:r>
    </w:p>
    <w:p w:rsidR="004152EF" w:rsidRDefault="00110DCF" w:rsidP="004152EF">
      <w:pPr>
        <w:spacing w:line="360" w:lineRule="auto"/>
        <w:ind w:firstLine="2268"/>
        <w:rPr>
          <w:rFonts w:cs="Arial"/>
        </w:rPr>
      </w:pPr>
      <w:r>
        <w:t>Nesse sentido, entendo ser razoável a quantia de R$ 4.000,00, devendo ser corrigida monetariamente desde a data desta decisão colegiada (Súmula 362 do STJ) e acrescida de juros de mora de 1% ao mês, estes contados do primeiro desconto indevido, em conformidade com a Súmula 54 do STJ.</w:t>
      </w:r>
    </w:p>
    <w:p w:rsidR="00534953" w:rsidRDefault="00534953" w:rsidP="004152EF">
      <w:pPr>
        <w:spacing w:line="360" w:lineRule="auto"/>
        <w:ind w:firstLine="2268"/>
        <w:rPr>
          <w:rFonts w:cs="Arial"/>
          <w:iCs/>
        </w:rPr>
      </w:pPr>
      <w:r/>
    </w:p>
    <w:p w:rsidR="00D6112C" w:rsidRPr="004152EF" w:rsidRDefault="00D6112C" w:rsidP="004152EF">
      <w:pPr>
        <w:spacing w:line="360" w:lineRule="auto"/>
        <w:ind w:firstLine="2268"/>
        <w:rPr>
          <w:rFonts w:cs="Arial"/>
          <w:iCs/>
        </w:rPr>
      </w:pPr>
      <w:r>
        <w:t>Pelo exposto, de rigor a reforma da sentença para declarar a inexigibilidade do débito com consequente devolução dos valores indevidamente descontados, em dobro, bem como para condenar a requerida ao pagamento de indenização por danos morais no valor de R$ 5.000,00 (cinco mil reais), afastada ainda a multa imposta a fls. 162, invertendo-se o ônus sucumbencial, arcando a requerida com as custas, despesas processuais e honorários advocatícios da parte contrária, fixados em 20% do valor da condenação.</w:t>
      </w:r>
    </w:p>
    <w:p w:rsidR="00444380" w:rsidRPr="008E7575" w:rsidRDefault="00444380" w:rsidP="00444380">
      <w:pPr>
        <w:spacing w:line="360" w:lineRule="auto"/>
        <w:ind w:firstLine="2268"/>
        <w:rPr>
          <w:rFonts w:cs="Arial"/>
          <w:iCs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390AB4" w:rsidRDefault="00390AB4" w:rsidP="00444380">
      <w:pPr>
        <w:spacing w:line="360" w:lineRule="auto"/>
        <w:ind w:firstLine="2268"/>
        <w:rPr>
          <w:rFonts w:cs="Arial"/>
          <w:iCs/>
        </w:rPr>
      </w:pPr>
      <w:r/>
    </w:p>
    <w:p w:rsidR="00444380" w:rsidRDefault="00444380" w:rsidP="00444380">
      <w:pPr>
        <w:spacing w:line="360" w:lineRule="auto"/>
        <w:ind w:firstLine="2268"/>
        <w:rPr>
          <w:rFonts w:cs="Arial"/>
          <w:iCs/>
        </w:rPr>
      </w:pPr>
      <w:r>
        <w:t>Nestes termos, pelo meu voto, DOU PROVIMENTO ao recurso da autora.</w:t>
      </w:r>
    </w:p>
    <w:p w:rsidR="00390AB4" w:rsidRDefault="00390AB4" w:rsidP="00A75323">
      <w:pPr>
        <w:pStyle w:val="Recuodecorpodetexto"/>
        <w:spacing w:line="360" w:lineRule="auto"/>
        <w:ind w:left="-567" w:firstLine="0"/>
        <w:jc w:val="center"/>
        <w:rPr>
          <w:rFonts w:ascii="Arial" w:hAnsi="Arial" w:cs="Arial"/>
          <w:b/>
          <w:szCs w:val="24"/>
        </w:rPr>
      </w:pPr>
      <w:r/>
    </w:p>
    <w:p w:rsidR="009E69E2" w:rsidRPr="00475729" w:rsidRDefault="009E69E2" w:rsidP="00A75323">
      <w:pPr>
        <w:pStyle w:val="Recuodecorpodetexto"/>
        <w:spacing w:line="360" w:lineRule="auto"/>
        <w:ind w:left="-567" w:firstLine="0"/>
        <w:jc w:val="center"/>
        <w:rPr>
          <w:rFonts w:ascii="Arial" w:hAnsi="Arial" w:cs="Arial"/>
          <w:b/>
          <w:szCs w:val="24"/>
        </w:rPr>
      </w:pPr>
      <w:r>
        <w:t>JOSÉ AUGUSTO GENOFRE MARTINS</w:t>
      </w:r>
    </w:p>
    <w:p w:rsidR="00465C76" w:rsidRPr="00DC2819" w:rsidRDefault="00465C76" w:rsidP="00A75323">
      <w:pPr>
        <w:pStyle w:val="Recuodecorpodetexto"/>
        <w:spacing w:line="360" w:lineRule="auto"/>
        <w:ind w:left="-567" w:firstLine="0"/>
        <w:jc w:val="center"/>
        <w:rPr>
          <w:rFonts w:ascii="Arial" w:hAnsi="Arial" w:cs="Arial"/>
          <w:b/>
          <w:szCs w:val="24"/>
        </w:rPr>
      </w:pPr>
      <w:r/>
    </w:p>
    <w:p w:rsidR="007C5A66" w:rsidRPr="00475729" w:rsidRDefault="007C5A66">
      <w:pPr>
        <w:rPr>
          <w:rFonts w:cs="Arial"/>
          <w:szCs w:val="24"/>
        </w:rPr>
      </w:pPr>
      <w:r/>
    </w:p>
    <w:sectPr w:rsidR="007C5A66" w:rsidRPr="00475729" w:rsidSect="00F749DA">
      <w:headerReference w:type="default" r:id="rId10"/>
      <w:footerReference w:type="even" r:id="rId11"/>
      <w:footerReference w:type="default" r:id="rId12"/>
      <w:pgSz w:w="11907" w:h="16840" w:code="9"/>
      <w:pgMar w:top="1276" w:right="1134" w:bottom="1418" w:left="1701" w:header="1077" w:footer="107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D77" w:rsidRDefault="001A7D77" w:rsidP="00465C76">
      <w:r>
        <w:separator/>
      </w:r>
    </w:p>
  </w:endnote>
  <w:endnote w:type="continuationSeparator" w:id="0">
    <w:p w:rsidR="001A7D77" w:rsidRDefault="001A7D77" w:rsidP="0046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04EE" w:rsidRDefault="00BA04E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A04EE" w:rsidRDefault="00BA04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04EE" w:rsidRPr="00074BA5" w:rsidRDefault="00BA04EE" w:rsidP="002F22A1">
    <w:pPr>
      <w:pStyle w:val="Rodap"/>
      <w:framePr w:wrap="around" w:vAnchor="text" w:hAnchor="page" w:x="6562" w:y="308"/>
      <w:rPr>
        <w:rStyle w:val="Nmerodepgina"/>
        <w:rFonts w:ascii="Bookman Old Style" w:hAnsi="Bookman Old Style"/>
        <w:b/>
        <w:sz w:val="16"/>
        <w:szCs w:val="16"/>
      </w:rPr>
    </w:pPr>
    <w:r w:rsidRPr="00074BA5">
      <w:rPr>
        <w:rStyle w:val="Nmerodepgina"/>
        <w:rFonts w:ascii="Bookman Old Style" w:hAnsi="Bookman Old Style"/>
        <w:b/>
        <w:sz w:val="16"/>
        <w:szCs w:val="16"/>
      </w:rPr>
      <w:fldChar w:fldCharType="begin"/>
    </w:r>
    <w:r w:rsidRPr="00074BA5">
      <w:rPr>
        <w:rStyle w:val="Nmerodepgina"/>
        <w:rFonts w:ascii="Bookman Old Style" w:hAnsi="Bookman Old Style"/>
        <w:b/>
        <w:sz w:val="16"/>
        <w:szCs w:val="16"/>
      </w:rPr>
      <w:instrText xml:space="preserve">PAGE  </w:instrText>
    </w:r>
    <w:r w:rsidRPr="00074BA5">
      <w:rPr>
        <w:rStyle w:val="Nmerodepgina"/>
        <w:rFonts w:ascii="Bookman Old Style" w:hAnsi="Bookman Old Style"/>
        <w:b/>
        <w:sz w:val="16"/>
        <w:szCs w:val="16"/>
      </w:rPr>
      <w:fldChar w:fldCharType="separate"/>
    </w:r>
    <w:r w:rsidR="00A75323">
      <w:rPr>
        <w:rStyle w:val="Nmerodepgina"/>
        <w:rFonts w:ascii="Bookman Old Style" w:hAnsi="Bookman Old Style"/>
        <w:b/>
        <w:noProof/>
        <w:sz w:val="16"/>
        <w:szCs w:val="16"/>
      </w:rPr>
      <w:t>1</w:t>
    </w:r>
    <w:r w:rsidRPr="00074BA5">
      <w:rPr>
        <w:rStyle w:val="Nmerodepgina"/>
        <w:rFonts w:ascii="Bookman Old Style" w:hAnsi="Bookman Old Style"/>
        <w:b/>
        <w:sz w:val="16"/>
        <w:szCs w:val="16"/>
      </w:rPr>
      <w:fldChar w:fldCharType="end"/>
    </w:r>
  </w:p>
  <w:p w:rsidR="00BA04EE" w:rsidRPr="00B15F69" w:rsidRDefault="00BA04EE" w:rsidP="002F22A1">
    <w:pPr>
      <w:pStyle w:val="Rodap"/>
      <w:jc w:val="center"/>
      <w:rPr>
        <w:rFonts w:cs="Arial"/>
        <w:sz w:val="22"/>
        <w:szCs w:val="22"/>
      </w:rPr>
    </w:pPr>
    <w:smartTag w:uri="schemas-houaiss/acao" w:element="dm">
      <w:r w:rsidRPr="00B15F69">
        <w:rPr>
          <w:rFonts w:cs="Arial"/>
          <w:sz w:val="22"/>
          <w:szCs w:val="22"/>
        </w:rPr>
        <w:t>Apelação</w:t>
      </w:r>
    </w:smartTag>
    <w:r w:rsidRPr="00B15F69">
      <w:rPr>
        <w:rFonts w:cs="Arial"/>
        <w:sz w:val="22"/>
        <w:szCs w:val="22"/>
      </w:rPr>
      <w:t xml:space="preserve"> nº</w:t>
    </w:r>
    <w:r>
      <w:rPr>
        <w:rFonts w:cs="Arial"/>
        <w:sz w:val="22"/>
        <w:szCs w:val="22"/>
      </w:rPr>
      <w:t xml:space="preserve"> </w:t>
    </w:r>
    <w:r w:rsidR="00A16F60">
      <w:rPr>
        <w:rFonts w:cs="Arial"/>
        <w:sz w:val="22"/>
        <w:szCs w:val="22"/>
      </w:rPr>
      <w:t>1000919-32.2019.8.26.0187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D77" w:rsidRDefault="001A7D77" w:rsidP="00465C76">
      <w:r>
        <w:separator/>
      </w:r>
    </w:p>
  </w:footnote>
  <w:footnote w:type="continuationSeparator" w:id="0">
    <w:p w:rsidR="001A7D77" w:rsidRDefault="001A7D77" w:rsidP="0046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27"/>
    </w:tblGrid>
    <w:tr w:rsidR="00BA04EE">
      <w:trPr>
        <w:trHeight w:val="1141"/>
      </w:trPr>
      <w:tc>
        <w:tcPr>
          <w:tcW w:w="1204" w:type="dxa"/>
        </w:tcPr>
        <w:bookmarkStart w:id="1" w:name="_MON_1168943624"/>
        <w:bookmarkEnd w:id="1"/>
        <w:bookmarkStart w:id="2" w:name="_MON_1170171972"/>
        <w:bookmarkEnd w:id="2"/>
        <w:p w:rsidR="00BA04EE" w:rsidRDefault="00BA04EE">
          <w:pPr>
            <w:spacing w:before="120"/>
          </w:pPr>
          <w:r>
            <w:object w:dxaOrig="1181" w:dyaOrig="13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54.75pt" fillcolor="window">
                <v:imagedata r:id="rId1" o:title=""/>
              </v:shape>
              <o:OLEObject Type="Embed" ProgID="Word.Picture.8" ShapeID="_x0000_i1025" DrawAspect="Content" ObjectID="_1811179046" r:id="rId2"/>
            </w:object>
          </w:r>
        </w:p>
      </w:tc>
      <w:tc>
        <w:tcPr>
          <w:tcW w:w="7727" w:type="dxa"/>
        </w:tcPr>
        <w:p w:rsidR="00BA04EE" w:rsidRDefault="00BA04EE">
          <w:pPr>
            <w:pStyle w:val="Cabealho"/>
            <w:spacing w:before="140" w:line="360" w:lineRule="auto"/>
            <w:ind w:left="-68" w:right="282"/>
            <w:jc w:val="center"/>
          </w:pPr>
          <w:smartTag w:uri="schemas-houaiss/acao" w:element="hm">
            <w:r>
              <w:rPr>
                <w:b/>
              </w:rPr>
              <w:t>PODER</w:t>
            </w:r>
          </w:smartTag>
          <w:r>
            <w:rPr>
              <w:b/>
            </w:rPr>
            <w:t xml:space="preserve"> </w:t>
          </w:r>
          <w:smartTag w:uri="schemas-houaiss/mini" w:element="verbetes">
            <w:r>
              <w:rPr>
                <w:b/>
              </w:rPr>
              <w:t>JUDICIÁRIO</w:t>
            </w:r>
          </w:smartTag>
        </w:p>
        <w:p w:rsidR="00BA04EE" w:rsidRDefault="00BA04EE">
          <w:pPr>
            <w:pStyle w:val="Cabealho"/>
            <w:spacing w:line="360" w:lineRule="auto"/>
            <w:ind w:left="-70" w:right="282"/>
            <w:jc w:val="center"/>
          </w:pPr>
          <w:smartTag w:uri="schemas-houaiss/mini" w:element="verbetes">
            <w:r>
              <w:rPr>
                <w:sz w:val="18"/>
              </w:rPr>
              <w:t>SÃO</w:t>
            </w:r>
          </w:smartTag>
          <w:r>
            <w:rPr>
              <w:sz w:val="18"/>
            </w:rPr>
            <w:t xml:space="preserve"> PAULO</w:t>
          </w:r>
        </w:p>
        <w:p w:rsidR="00BA04EE" w:rsidRDefault="00BA04EE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Book Antiqua" w:hAnsi="Book Antiqua"/>
              <w:b/>
              <w:sz w:val="28"/>
            </w:rPr>
          </w:pP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TRIBUNAL</w:t>
            </w:r>
          </w:smartTag>
          <w:r>
            <w:rPr>
              <w:rFonts w:ascii="Book Antiqua" w:hAnsi="Book Antiqua"/>
              <w:b/>
              <w:sz w:val="28"/>
            </w:rPr>
            <w:t xml:space="preserve"> DE </w:t>
          </w: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JUSTIÇA</w:t>
            </w:r>
          </w:smartTag>
          <w:r>
            <w:rPr>
              <w:rFonts w:ascii="Book Antiqua" w:hAnsi="Book Antiqua"/>
              <w:b/>
              <w:sz w:val="28"/>
            </w:rPr>
            <w:t xml:space="preserve"> DO </w:t>
          </w: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ESTADO</w:t>
            </w:r>
          </w:smartTag>
          <w:r>
            <w:rPr>
              <w:rFonts w:ascii="Book Antiqua" w:hAnsi="Book Antiqua"/>
              <w:b/>
              <w:sz w:val="28"/>
            </w:rPr>
            <w:t xml:space="preserve"> DE </w:t>
          </w: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SÃO</w:t>
            </w:r>
          </w:smartTag>
          <w:r>
            <w:rPr>
              <w:rFonts w:ascii="Book Antiqua" w:hAnsi="Book Antiqua"/>
              <w:b/>
              <w:sz w:val="28"/>
            </w:rPr>
            <w:t xml:space="preserve"> PAULO</w:t>
          </w:r>
        </w:p>
        <w:p w:rsidR="00BA04EE" w:rsidRDefault="00BA04EE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</w:rPr>
          </w:pPr>
          <w:smartTag w:uri="schemas-houaiss/acao" w:element="dm">
            <w:r>
              <w:rPr>
                <w:rFonts w:ascii="Book Antiqua" w:hAnsi="Book Antiqua"/>
                <w:b/>
                <w:sz w:val="28"/>
              </w:rPr>
              <w:t>SEÇÃO</w:t>
            </w:r>
          </w:smartTag>
          <w:r>
            <w:rPr>
              <w:rFonts w:ascii="Book Antiqua" w:hAnsi="Book Antiqua"/>
              <w:b/>
              <w:sz w:val="28"/>
            </w:rPr>
            <w:t xml:space="preserve"> DE </w:t>
          </w: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DIREITO</w:t>
            </w:r>
          </w:smartTag>
          <w:r>
            <w:rPr>
              <w:rFonts w:ascii="Book Antiqua" w:hAnsi="Book Antiqua"/>
              <w:b/>
              <w:sz w:val="28"/>
            </w:rPr>
            <w:t xml:space="preserve"> </w:t>
          </w:r>
          <w:smartTag w:uri="schemas-houaiss/mini" w:element="verbetes">
            <w:r>
              <w:rPr>
                <w:rFonts w:ascii="Book Antiqua" w:hAnsi="Book Antiqua"/>
                <w:b/>
                <w:sz w:val="28"/>
              </w:rPr>
              <w:t>PRIVADO</w:t>
            </w:r>
          </w:smartTag>
        </w:p>
      </w:tc>
    </w:tr>
  </w:tbl>
  <w:p w:rsidR="00BA04EE" w:rsidRDefault="00BA04EE">
    <w:pPr>
      <w:pStyle w:val="Cabealho"/>
      <w:tabs>
        <w:tab w:val="clear" w:pos="4419"/>
        <w:tab w:val="clear" w:pos="8838"/>
      </w:tabs>
      <w:jc w:val="center"/>
    </w:pPr>
  </w:p>
  <w:p w:rsidR="00BA04EE" w:rsidRDefault="00BA04EE">
    <w:pPr>
      <w:pStyle w:val="Cabealho"/>
      <w:tabs>
        <w:tab w:val="clear" w:pos="4419"/>
        <w:tab w:val="clear" w:pos="8838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C76"/>
    <w:rsid w:val="00001B93"/>
    <w:rsid w:val="00007C8E"/>
    <w:rsid w:val="00010200"/>
    <w:rsid w:val="00010433"/>
    <w:rsid w:val="00010CC3"/>
    <w:rsid w:val="0001405E"/>
    <w:rsid w:val="00014686"/>
    <w:rsid w:val="00020D09"/>
    <w:rsid w:val="0003010D"/>
    <w:rsid w:val="00034084"/>
    <w:rsid w:val="000439A3"/>
    <w:rsid w:val="0005030E"/>
    <w:rsid w:val="00053A35"/>
    <w:rsid w:val="000578A1"/>
    <w:rsid w:val="00061CB6"/>
    <w:rsid w:val="00075657"/>
    <w:rsid w:val="00075EAA"/>
    <w:rsid w:val="00076967"/>
    <w:rsid w:val="0008039E"/>
    <w:rsid w:val="00084F30"/>
    <w:rsid w:val="000862B9"/>
    <w:rsid w:val="00092DA8"/>
    <w:rsid w:val="000A2774"/>
    <w:rsid w:val="000A2BE9"/>
    <w:rsid w:val="000B1492"/>
    <w:rsid w:val="000B3B69"/>
    <w:rsid w:val="000B60DD"/>
    <w:rsid w:val="000C5A94"/>
    <w:rsid w:val="000C5A9D"/>
    <w:rsid w:val="000D15F4"/>
    <w:rsid w:val="000E29A7"/>
    <w:rsid w:val="000E3601"/>
    <w:rsid w:val="000F43D1"/>
    <w:rsid w:val="000F569E"/>
    <w:rsid w:val="000F73EC"/>
    <w:rsid w:val="000F7C97"/>
    <w:rsid w:val="001109C9"/>
    <w:rsid w:val="00110DCF"/>
    <w:rsid w:val="00113BAE"/>
    <w:rsid w:val="001160A0"/>
    <w:rsid w:val="00123355"/>
    <w:rsid w:val="001326A3"/>
    <w:rsid w:val="00147619"/>
    <w:rsid w:val="0015462F"/>
    <w:rsid w:val="00162BB6"/>
    <w:rsid w:val="001663B6"/>
    <w:rsid w:val="001724B8"/>
    <w:rsid w:val="00183ABE"/>
    <w:rsid w:val="00190CDB"/>
    <w:rsid w:val="0019395E"/>
    <w:rsid w:val="0019566F"/>
    <w:rsid w:val="00197696"/>
    <w:rsid w:val="001A6472"/>
    <w:rsid w:val="001A6ED1"/>
    <w:rsid w:val="001A7D77"/>
    <w:rsid w:val="001B1B22"/>
    <w:rsid w:val="001B3114"/>
    <w:rsid w:val="001C0B4A"/>
    <w:rsid w:val="001C7607"/>
    <w:rsid w:val="001D0AD2"/>
    <w:rsid w:val="001D28EF"/>
    <w:rsid w:val="001D35E1"/>
    <w:rsid w:val="001D393B"/>
    <w:rsid w:val="001D4DA1"/>
    <w:rsid w:val="001E30CC"/>
    <w:rsid w:val="001F13C8"/>
    <w:rsid w:val="001F79F5"/>
    <w:rsid w:val="0020218A"/>
    <w:rsid w:val="00206D6B"/>
    <w:rsid w:val="00213C14"/>
    <w:rsid w:val="0021755C"/>
    <w:rsid w:val="0022136A"/>
    <w:rsid w:val="002356B7"/>
    <w:rsid w:val="002369E4"/>
    <w:rsid w:val="00245A55"/>
    <w:rsid w:val="002468CE"/>
    <w:rsid w:val="00250BD8"/>
    <w:rsid w:val="002559E7"/>
    <w:rsid w:val="00262C49"/>
    <w:rsid w:val="002701C9"/>
    <w:rsid w:val="002830BA"/>
    <w:rsid w:val="00286795"/>
    <w:rsid w:val="002B1CC4"/>
    <w:rsid w:val="002C0822"/>
    <w:rsid w:val="002C7F13"/>
    <w:rsid w:val="002E0C15"/>
    <w:rsid w:val="002E0F80"/>
    <w:rsid w:val="002F22A1"/>
    <w:rsid w:val="00310168"/>
    <w:rsid w:val="00313C5D"/>
    <w:rsid w:val="00314242"/>
    <w:rsid w:val="003168A0"/>
    <w:rsid w:val="00323FCC"/>
    <w:rsid w:val="00324AB2"/>
    <w:rsid w:val="003250C2"/>
    <w:rsid w:val="00326B15"/>
    <w:rsid w:val="00341F1E"/>
    <w:rsid w:val="00343716"/>
    <w:rsid w:val="00345994"/>
    <w:rsid w:val="0036085B"/>
    <w:rsid w:val="0036129C"/>
    <w:rsid w:val="00366327"/>
    <w:rsid w:val="00366A2B"/>
    <w:rsid w:val="003673A0"/>
    <w:rsid w:val="003734C2"/>
    <w:rsid w:val="00375C59"/>
    <w:rsid w:val="00381AAF"/>
    <w:rsid w:val="0038322C"/>
    <w:rsid w:val="00390028"/>
    <w:rsid w:val="00390AB4"/>
    <w:rsid w:val="003974D1"/>
    <w:rsid w:val="003B0121"/>
    <w:rsid w:val="003B1D26"/>
    <w:rsid w:val="003B2AA8"/>
    <w:rsid w:val="003D1BA5"/>
    <w:rsid w:val="003D546C"/>
    <w:rsid w:val="003E3525"/>
    <w:rsid w:val="003E610D"/>
    <w:rsid w:val="003F0508"/>
    <w:rsid w:val="003F4D48"/>
    <w:rsid w:val="0041024F"/>
    <w:rsid w:val="004152EF"/>
    <w:rsid w:val="004160EB"/>
    <w:rsid w:val="00421120"/>
    <w:rsid w:val="00427652"/>
    <w:rsid w:val="00431A0B"/>
    <w:rsid w:val="00435460"/>
    <w:rsid w:val="00440AEA"/>
    <w:rsid w:val="00444380"/>
    <w:rsid w:val="00446339"/>
    <w:rsid w:val="004524A8"/>
    <w:rsid w:val="00453D3C"/>
    <w:rsid w:val="0045701D"/>
    <w:rsid w:val="00460E8C"/>
    <w:rsid w:val="00461DF1"/>
    <w:rsid w:val="0046221B"/>
    <w:rsid w:val="00464B0C"/>
    <w:rsid w:val="00465C76"/>
    <w:rsid w:val="0047155C"/>
    <w:rsid w:val="00475729"/>
    <w:rsid w:val="00480BC0"/>
    <w:rsid w:val="004869F2"/>
    <w:rsid w:val="00493EBA"/>
    <w:rsid w:val="004A4891"/>
    <w:rsid w:val="004B5151"/>
    <w:rsid w:val="004C6021"/>
    <w:rsid w:val="004D0BC4"/>
    <w:rsid w:val="004F6431"/>
    <w:rsid w:val="00503C88"/>
    <w:rsid w:val="00510F2C"/>
    <w:rsid w:val="00530683"/>
    <w:rsid w:val="00534953"/>
    <w:rsid w:val="00543EA1"/>
    <w:rsid w:val="00551C6F"/>
    <w:rsid w:val="00553800"/>
    <w:rsid w:val="00554609"/>
    <w:rsid w:val="00555D51"/>
    <w:rsid w:val="00567767"/>
    <w:rsid w:val="00571EAD"/>
    <w:rsid w:val="00575002"/>
    <w:rsid w:val="00575792"/>
    <w:rsid w:val="00575E9F"/>
    <w:rsid w:val="00585F29"/>
    <w:rsid w:val="005921E5"/>
    <w:rsid w:val="005A5F0D"/>
    <w:rsid w:val="005D315B"/>
    <w:rsid w:val="005D32B5"/>
    <w:rsid w:val="005F61BF"/>
    <w:rsid w:val="006031A4"/>
    <w:rsid w:val="00605B09"/>
    <w:rsid w:val="00616B07"/>
    <w:rsid w:val="00617B04"/>
    <w:rsid w:val="00625909"/>
    <w:rsid w:val="0063544E"/>
    <w:rsid w:val="00641BD9"/>
    <w:rsid w:val="0064315E"/>
    <w:rsid w:val="00651EDF"/>
    <w:rsid w:val="00654B12"/>
    <w:rsid w:val="00654B30"/>
    <w:rsid w:val="00655691"/>
    <w:rsid w:val="00663878"/>
    <w:rsid w:val="00670A05"/>
    <w:rsid w:val="00687572"/>
    <w:rsid w:val="00687666"/>
    <w:rsid w:val="006B1F50"/>
    <w:rsid w:val="006C0E81"/>
    <w:rsid w:val="006C6D72"/>
    <w:rsid w:val="006D6620"/>
    <w:rsid w:val="006D72E8"/>
    <w:rsid w:val="006E2F58"/>
    <w:rsid w:val="006E2F75"/>
    <w:rsid w:val="006F6F21"/>
    <w:rsid w:val="006F78C1"/>
    <w:rsid w:val="00702A32"/>
    <w:rsid w:val="00710C1C"/>
    <w:rsid w:val="00711633"/>
    <w:rsid w:val="007173E8"/>
    <w:rsid w:val="007208BE"/>
    <w:rsid w:val="00730E33"/>
    <w:rsid w:val="00735429"/>
    <w:rsid w:val="00751D64"/>
    <w:rsid w:val="007534C5"/>
    <w:rsid w:val="007674FC"/>
    <w:rsid w:val="00771FBF"/>
    <w:rsid w:val="00774425"/>
    <w:rsid w:val="00776BE5"/>
    <w:rsid w:val="00781663"/>
    <w:rsid w:val="00783BE1"/>
    <w:rsid w:val="007A03B6"/>
    <w:rsid w:val="007A4797"/>
    <w:rsid w:val="007A6FEB"/>
    <w:rsid w:val="007B0790"/>
    <w:rsid w:val="007B0B0F"/>
    <w:rsid w:val="007B1982"/>
    <w:rsid w:val="007B3CDE"/>
    <w:rsid w:val="007C5A66"/>
    <w:rsid w:val="007C700B"/>
    <w:rsid w:val="007D18E2"/>
    <w:rsid w:val="007D2525"/>
    <w:rsid w:val="007D3F75"/>
    <w:rsid w:val="007D43D7"/>
    <w:rsid w:val="007E061E"/>
    <w:rsid w:val="007E0E26"/>
    <w:rsid w:val="00803608"/>
    <w:rsid w:val="008048AF"/>
    <w:rsid w:val="0081057B"/>
    <w:rsid w:val="008270A7"/>
    <w:rsid w:val="0084545A"/>
    <w:rsid w:val="008456E4"/>
    <w:rsid w:val="00850192"/>
    <w:rsid w:val="008509DD"/>
    <w:rsid w:val="008529F4"/>
    <w:rsid w:val="00860C9E"/>
    <w:rsid w:val="00863E48"/>
    <w:rsid w:val="00870EBC"/>
    <w:rsid w:val="00880877"/>
    <w:rsid w:val="00882388"/>
    <w:rsid w:val="00896FB0"/>
    <w:rsid w:val="008973C0"/>
    <w:rsid w:val="008A17B4"/>
    <w:rsid w:val="008A1E7D"/>
    <w:rsid w:val="008A6697"/>
    <w:rsid w:val="008B2D8E"/>
    <w:rsid w:val="008B3930"/>
    <w:rsid w:val="008B53F8"/>
    <w:rsid w:val="008F5A85"/>
    <w:rsid w:val="0090623E"/>
    <w:rsid w:val="00906F69"/>
    <w:rsid w:val="00907C3F"/>
    <w:rsid w:val="00916829"/>
    <w:rsid w:val="00916EBD"/>
    <w:rsid w:val="00920E40"/>
    <w:rsid w:val="00923C93"/>
    <w:rsid w:val="009266FB"/>
    <w:rsid w:val="0092684B"/>
    <w:rsid w:val="009328EE"/>
    <w:rsid w:val="009411BF"/>
    <w:rsid w:val="00941AFF"/>
    <w:rsid w:val="00941BB7"/>
    <w:rsid w:val="00950F78"/>
    <w:rsid w:val="009516A7"/>
    <w:rsid w:val="009551F9"/>
    <w:rsid w:val="00970499"/>
    <w:rsid w:val="00971507"/>
    <w:rsid w:val="009718B0"/>
    <w:rsid w:val="009805E5"/>
    <w:rsid w:val="009831CC"/>
    <w:rsid w:val="00983305"/>
    <w:rsid w:val="00985F1A"/>
    <w:rsid w:val="00990EC6"/>
    <w:rsid w:val="00991520"/>
    <w:rsid w:val="00993386"/>
    <w:rsid w:val="00994AF4"/>
    <w:rsid w:val="0099736F"/>
    <w:rsid w:val="009A0A70"/>
    <w:rsid w:val="009A3699"/>
    <w:rsid w:val="009A415E"/>
    <w:rsid w:val="009B65FE"/>
    <w:rsid w:val="009C3765"/>
    <w:rsid w:val="009C4ECC"/>
    <w:rsid w:val="009C796B"/>
    <w:rsid w:val="009E4240"/>
    <w:rsid w:val="009E52E6"/>
    <w:rsid w:val="009E69E2"/>
    <w:rsid w:val="009F0521"/>
    <w:rsid w:val="009F1FA9"/>
    <w:rsid w:val="009F493A"/>
    <w:rsid w:val="009F62E6"/>
    <w:rsid w:val="00A02CDD"/>
    <w:rsid w:val="00A04814"/>
    <w:rsid w:val="00A04AAF"/>
    <w:rsid w:val="00A05C11"/>
    <w:rsid w:val="00A1166A"/>
    <w:rsid w:val="00A12D83"/>
    <w:rsid w:val="00A14A59"/>
    <w:rsid w:val="00A16F60"/>
    <w:rsid w:val="00A179A3"/>
    <w:rsid w:val="00A17A40"/>
    <w:rsid w:val="00A2052F"/>
    <w:rsid w:val="00A21A3F"/>
    <w:rsid w:val="00A413D6"/>
    <w:rsid w:val="00A445A5"/>
    <w:rsid w:val="00A75323"/>
    <w:rsid w:val="00A81FA1"/>
    <w:rsid w:val="00A8251D"/>
    <w:rsid w:val="00A82859"/>
    <w:rsid w:val="00A83726"/>
    <w:rsid w:val="00A83DBD"/>
    <w:rsid w:val="00A86AF0"/>
    <w:rsid w:val="00A9046A"/>
    <w:rsid w:val="00A9191B"/>
    <w:rsid w:val="00A92133"/>
    <w:rsid w:val="00AA291F"/>
    <w:rsid w:val="00AA4B29"/>
    <w:rsid w:val="00AA4BE9"/>
    <w:rsid w:val="00AA6CFE"/>
    <w:rsid w:val="00AA7135"/>
    <w:rsid w:val="00AC112B"/>
    <w:rsid w:val="00AC5D4F"/>
    <w:rsid w:val="00AC7A2B"/>
    <w:rsid w:val="00AC7CAA"/>
    <w:rsid w:val="00AD0BE0"/>
    <w:rsid w:val="00AF0C1F"/>
    <w:rsid w:val="00AF2096"/>
    <w:rsid w:val="00B013D2"/>
    <w:rsid w:val="00B01BC5"/>
    <w:rsid w:val="00B03FA1"/>
    <w:rsid w:val="00B04567"/>
    <w:rsid w:val="00B10065"/>
    <w:rsid w:val="00B12BEB"/>
    <w:rsid w:val="00B15F69"/>
    <w:rsid w:val="00B16A1B"/>
    <w:rsid w:val="00B22A8F"/>
    <w:rsid w:val="00B23F74"/>
    <w:rsid w:val="00B3037C"/>
    <w:rsid w:val="00B425CB"/>
    <w:rsid w:val="00B61463"/>
    <w:rsid w:val="00B72396"/>
    <w:rsid w:val="00B729E9"/>
    <w:rsid w:val="00B86B9C"/>
    <w:rsid w:val="00B928A7"/>
    <w:rsid w:val="00B97488"/>
    <w:rsid w:val="00BA04EE"/>
    <w:rsid w:val="00BA6471"/>
    <w:rsid w:val="00BB4E09"/>
    <w:rsid w:val="00BB5662"/>
    <w:rsid w:val="00BB5891"/>
    <w:rsid w:val="00BC6051"/>
    <w:rsid w:val="00BF235F"/>
    <w:rsid w:val="00C16C7C"/>
    <w:rsid w:val="00C214F0"/>
    <w:rsid w:val="00C253F2"/>
    <w:rsid w:val="00C31074"/>
    <w:rsid w:val="00C350E8"/>
    <w:rsid w:val="00C36A3F"/>
    <w:rsid w:val="00C36D7C"/>
    <w:rsid w:val="00C376E5"/>
    <w:rsid w:val="00C56A8B"/>
    <w:rsid w:val="00C56C8D"/>
    <w:rsid w:val="00C62404"/>
    <w:rsid w:val="00C75210"/>
    <w:rsid w:val="00C819B2"/>
    <w:rsid w:val="00C86258"/>
    <w:rsid w:val="00C9348B"/>
    <w:rsid w:val="00C9431E"/>
    <w:rsid w:val="00CA765A"/>
    <w:rsid w:val="00CC0783"/>
    <w:rsid w:val="00CC3DEE"/>
    <w:rsid w:val="00CC56F8"/>
    <w:rsid w:val="00CC59A5"/>
    <w:rsid w:val="00CC6343"/>
    <w:rsid w:val="00CC70D8"/>
    <w:rsid w:val="00CD2CC9"/>
    <w:rsid w:val="00CD5D08"/>
    <w:rsid w:val="00CF2DB7"/>
    <w:rsid w:val="00D00BB8"/>
    <w:rsid w:val="00D0210F"/>
    <w:rsid w:val="00D1250E"/>
    <w:rsid w:val="00D145FB"/>
    <w:rsid w:val="00D169D0"/>
    <w:rsid w:val="00D22C86"/>
    <w:rsid w:val="00D26B06"/>
    <w:rsid w:val="00D34169"/>
    <w:rsid w:val="00D40E9D"/>
    <w:rsid w:val="00D44068"/>
    <w:rsid w:val="00D453E9"/>
    <w:rsid w:val="00D5401D"/>
    <w:rsid w:val="00D57212"/>
    <w:rsid w:val="00D6112C"/>
    <w:rsid w:val="00D64532"/>
    <w:rsid w:val="00D667E2"/>
    <w:rsid w:val="00D677DA"/>
    <w:rsid w:val="00D845A3"/>
    <w:rsid w:val="00D84EA6"/>
    <w:rsid w:val="00D90BDB"/>
    <w:rsid w:val="00DA04CE"/>
    <w:rsid w:val="00DA27F3"/>
    <w:rsid w:val="00DC2819"/>
    <w:rsid w:val="00DC3F2D"/>
    <w:rsid w:val="00DC7FCE"/>
    <w:rsid w:val="00DD30BB"/>
    <w:rsid w:val="00DE0AB2"/>
    <w:rsid w:val="00DE6D02"/>
    <w:rsid w:val="00E10569"/>
    <w:rsid w:val="00E220B3"/>
    <w:rsid w:val="00E23E07"/>
    <w:rsid w:val="00E31B3A"/>
    <w:rsid w:val="00E53860"/>
    <w:rsid w:val="00E65BF2"/>
    <w:rsid w:val="00E73DCC"/>
    <w:rsid w:val="00E75D39"/>
    <w:rsid w:val="00E8741A"/>
    <w:rsid w:val="00E87F38"/>
    <w:rsid w:val="00E950C6"/>
    <w:rsid w:val="00EB3634"/>
    <w:rsid w:val="00EB4822"/>
    <w:rsid w:val="00EB5ABD"/>
    <w:rsid w:val="00EB65FA"/>
    <w:rsid w:val="00EC4B53"/>
    <w:rsid w:val="00EC63A0"/>
    <w:rsid w:val="00EC6B1E"/>
    <w:rsid w:val="00EC71BD"/>
    <w:rsid w:val="00EE5330"/>
    <w:rsid w:val="00EE5E09"/>
    <w:rsid w:val="00EF4A06"/>
    <w:rsid w:val="00F03650"/>
    <w:rsid w:val="00F03CF6"/>
    <w:rsid w:val="00F075A7"/>
    <w:rsid w:val="00F16282"/>
    <w:rsid w:val="00F16FBC"/>
    <w:rsid w:val="00F229D4"/>
    <w:rsid w:val="00F23DE1"/>
    <w:rsid w:val="00F3458C"/>
    <w:rsid w:val="00F54AE8"/>
    <w:rsid w:val="00F555AB"/>
    <w:rsid w:val="00F57138"/>
    <w:rsid w:val="00F67615"/>
    <w:rsid w:val="00F72E0B"/>
    <w:rsid w:val="00F749DA"/>
    <w:rsid w:val="00F866F3"/>
    <w:rsid w:val="00FA6020"/>
    <w:rsid w:val="00FA614C"/>
    <w:rsid w:val="00FA6F13"/>
    <w:rsid w:val="00FC0A4A"/>
    <w:rsid w:val="00FC3F5A"/>
    <w:rsid w:val="00FC47AB"/>
    <w:rsid w:val="00FC6169"/>
    <w:rsid w:val="00FD1F5B"/>
    <w:rsid w:val="00FD361B"/>
    <w:rsid w:val="00FD4118"/>
    <w:rsid w:val="00FD7C5B"/>
    <w:rsid w:val="00FE39CF"/>
    <w:rsid w:val="00FE6D42"/>
    <w:rsid w:val="00FF06E3"/>
    <w:rsid w:val="00FF3899"/>
    <w:rsid w:val="00FF4081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CC1E42EC-EBBB-4028-BE96-B888C32D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C76"/>
    <w:pPr>
      <w:jc w:val="both"/>
    </w:pPr>
    <w:rPr>
      <w:rFonts w:ascii="Arial" w:eastAsia="Times New Roman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65C76"/>
    <w:pPr>
      <w:spacing w:line="360" w:lineRule="auto"/>
    </w:pPr>
    <w:rPr>
      <w:rFonts w:ascii="Bookman Old Style" w:hAnsi="Bookman Old Style"/>
      <w:b/>
      <w:i/>
    </w:rPr>
  </w:style>
  <w:style w:type="character" w:customStyle="1" w:styleId="CorpodetextoChar">
    <w:name w:val="Corpo de texto Char"/>
    <w:link w:val="Corpodetexto"/>
    <w:rsid w:val="00465C76"/>
    <w:rPr>
      <w:rFonts w:ascii="Bookman Old Style" w:eastAsia="Times New Roman" w:hAnsi="Bookman Old Style" w:cs="Times New Roman"/>
      <w:b/>
      <w:i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65C76"/>
    <w:pPr>
      <w:ind w:firstLine="1701"/>
    </w:pPr>
    <w:rPr>
      <w:rFonts w:ascii="Courier New" w:hAnsi="Courier New"/>
    </w:rPr>
  </w:style>
  <w:style w:type="character" w:customStyle="1" w:styleId="RecuodecorpodetextoChar">
    <w:name w:val="Recuo de corpo de texto Char"/>
    <w:link w:val="Recuodecorpodetexto"/>
    <w:rsid w:val="00465C76"/>
    <w:rPr>
      <w:rFonts w:ascii="Courier New" w:eastAsia="Times New Roman" w:hAnsi="Courier New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465C76"/>
    <w:pPr>
      <w:tabs>
        <w:tab w:val="center" w:pos="4419"/>
        <w:tab w:val="right" w:pos="8838"/>
      </w:tabs>
      <w:jc w:val="left"/>
    </w:pPr>
    <w:rPr>
      <w:sz w:val="20"/>
    </w:rPr>
  </w:style>
  <w:style w:type="character" w:customStyle="1" w:styleId="CabealhoChar">
    <w:name w:val="Cabeçalho Char"/>
    <w:link w:val="Cabealho"/>
    <w:rsid w:val="00465C76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465C76"/>
  </w:style>
  <w:style w:type="paragraph" w:styleId="Rodap">
    <w:name w:val="footer"/>
    <w:basedOn w:val="Normal"/>
    <w:link w:val="RodapChar"/>
    <w:rsid w:val="00465C76"/>
    <w:pPr>
      <w:tabs>
        <w:tab w:val="center" w:pos="4419"/>
        <w:tab w:val="right" w:pos="8838"/>
      </w:tabs>
      <w:jc w:val="left"/>
    </w:pPr>
    <w:rPr>
      <w:sz w:val="20"/>
    </w:rPr>
  </w:style>
  <w:style w:type="character" w:customStyle="1" w:styleId="RodapChar">
    <w:name w:val="Rodapé Char"/>
    <w:link w:val="Rodap"/>
    <w:rsid w:val="00465C76"/>
    <w:rPr>
      <w:rFonts w:ascii="Arial" w:eastAsia="Times New Roman" w:hAnsi="Arial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65C76"/>
    <w:rPr>
      <w:sz w:val="20"/>
    </w:rPr>
  </w:style>
  <w:style w:type="character" w:customStyle="1" w:styleId="TextodenotaderodapChar">
    <w:name w:val="Texto de nota de rodapé Char"/>
    <w:link w:val="Textodenotaderodap"/>
    <w:semiHidden/>
    <w:rsid w:val="00465C76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unhideWhenUsed/>
    <w:rsid w:val="00465C7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169D0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169D0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1006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B10065"/>
    <w:rPr>
      <w:rFonts w:ascii="Arial" w:eastAsia="Times New Roman" w:hAnsi="Arial" w:cs="Times New Roman"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rsid w:val="00B10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Verdana" w:hAnsi="Verdana" w:cs="Courier New"/>
      <w:sz w:val="20"/>
    </w:rPr>
  </w:style>
  <w:style w:type="character" w:customStyle="1" w:styleId="Pr-formataoHTMLChar">
    <w:name w:val="Pré-formatação HTML Char"/>
    <w:link w:val="Pr-formataoHTML"/>
    <w:uiPriority w:val="99"/>
    <w:rsid w:val="00B10065"/>
    <w:rPr>
      <w:rFonts w:ascii="Verdana" w:eastAsia="Times New Roman" w:hAnsi="Verdana" w:cs="Courier New"/>
      <w:sz w:val="20"/>
      <w:szCs w:val="20"/>
      <w:lang w:eastAsia="pt-BR"/>
    </w:rPr>
  </w:style>
  <w:style w:type="character" w:styleId="nfase">
    <w:name w:val="Emphasis"/>
    <w:uiPriority w:val="20"/>
    <w:qFormat/>
    <w:rsid w:val="004D0BC4"/>
    <w:rPr>
      <w:i/>
      <w:iCs/>
    </w:rPr>
  </w:style>
  <w:style w:type="character" w:customStyle="1" w:styleId="assuntoclasse">
    <w:name w:val="assuntoclasse"/>
    <w:basedOn w:val="Fontepargpadro"/>
    <w:rsid w:val="00C36D7C"/>
  </w:style>
  <w:style w:type="paragraph" w:customStyle="1" w:styleId="a">
    <w:name w:val="§"/>
    <w:basedOn w:val="Normal"/>
    <w:link w:val="Char"/>
    <w:qFormat/>
    <w:rsid w:val="009F62E6"/>
    <w:pPr>
      <w:spacing w:line="360" w:lineRule="auto"/>
      <w:ind w:firstLine="1418"/>
    </w:pPr>
    <w:rPr>
      <w:rFonts w:eastAsia="Calibri" w:cs="Arial"/>
      <w:szCs w:val="22"/>
      <w:lang w:eastAsia="en-US"/>
    </w:rPr>
  </w:style>
  <w:style w:type="character" w:customStyle="1" w:styleId="Char">
    <w:name w:val="§ Char"/>
    <w:link w:val="a"/>
    <w:rsid w:val="009F62E6"/>
    <w:rPr>
      <w:rFonts w:ascii="Arial" w:hAnsi="Arial" w:cs="Arial"/>
      <w:sz w:val="24"/>
      <w:szCs w:val="22"/>
      <w:lang w:eastAsia="en-US"/>
    </w:rPr>
  </w:style>
  <w:style w:type="paragraph" w:customStyle="1" w:styleId="Voto">
    <w:name w:val="Voto"/>
    <w:basedOn w:val="Normal"/>
    <w:link w:val="VotoChar"/>
    <w:qFormat/>
    <w:rsid w:val="009F62E6"/>
    <w:pPr>
      <w:spacing w:before="120" w:after="120" w:line="360" w:lineRule="auto"/>
      <w:ind w:firstLine="1134"/>
    </w:pPr>
    <w:rPr>
      <w:rFonts w:eastAsia="Calibri"/>
      <w:szCs w:val="24"/>
      <w:lang w:eastAsia="en-US"/>
    </w:rPr>
  </w:style>
  <w:style w:type="character" w:customStyle="1" w:styleId="VotoChar">
    <w:name w:val="Voto Char"/>
    <w:link w:val="Voto"/>
    <w:rsid w:val="009F62E6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11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9FC7A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5" ma:contentTypeDescription="Crie um novo documento." ma:contentTypeScope="" ma:versionID="c5135ee3a967cca248f953d2bbae4f14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452b87af34e80da323935f7d45c13eb5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4FA68-9509-4AC5-AA8E-F051378DC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63FD03-B9C0-4B1B-BC3F-EC90958C3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9F259-43E3-46AB-9F9E-D73E995618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39E55-B4A9-4C39-A5A5-97D5762F81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1933</Words>
  <Characters>10439</Characters>
  <Application>Microsoft Office Word</Application>
  <DocSecurity>4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DENISE OLIVEIRA DOS SANTOS</cp:lastModifiedBy>
  <cp:revision>2</cp:revision>
  <dcterms:created xsi:type="dcterms:W3CDTF">2025-06-11T23:27:00Z</dcterms:created>
  <dcterms:modified xsi:type="dcterms:W3CDTF">2025-06-11T23:27:00Z</dcterms:modified>
</cp:coreProperties>
</file>