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SANTOS – 9ª VARA CÍVEL </w:t>
      </w:r>
    </w:p>
    <w:p w:rsidR="00D14C33" w:rsidRPr="006A6130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ARNOLDO DO AMARAL COIMBRA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APELADO: MIGUEL PASQUARELLI NETO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JUÍZA PROLATORA: REJANE RODRIGUES LAGE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10.284</w:t>
      </w:r>
    </w:p>
    <w:p w:rsidR="00395A26" w:rsidRDefault="00395A26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F0AE4" w:rsidRPr="00324889" w:rsidRDefault="00DF0AE4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3313FC" w:rsidRPr="003313FC" w:rsidRDefault="003313FC" w:rsidP="003313FC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AÇÃO DE EXIGIR CONTAS – Mandato outorgado para recebimento de aluguéis – Sentença de parcial procedência para rejeitar parte das contas apresentadas e declarar crédito em favor do autor – Insurgência do réu visando anulação da sentença por cerceamento de defesa ou integral aprovação das contas.</w:t>
      </w:r>
    </w:p>
    <w:p w:rsidR="00D14C33" w:rsidRDefault="003313FC" w:rsidP="003313FC">
      <w:pPr>
        <w:pStyle w:val="Recuodecorpodetexto"/>
        <w:rPr>
          <w:rFonts w:ascii="Arial" w:hAnsi="Arial" w:cs="Arial"/>
          <w:sz w:val="22"/>
          <w:szCs w:val="22"/>
        </w:rPr>
      </w:pPr>
      <w:r>
        <w:t>Inexistência de cerceamento de defesa – Indeferimento da prova testemunhal que se mostrou adequado na hipótese dos autos, posto que desnecessária, máxime em razão da preclusão para produção de prova pericial contábil por inércia do réu – Ação de exigir contas que privilegia a prova documental e contábil – Valor apurado na sentença mantido, considerando a ausência de elementos novos que justifiquem alteração – Verba honorária majorada – Sentença mantida – Recurso improvido.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Pr="00BF0248" w:rsidRDefault="00D14C33" w:rsidP="00BF0248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Trata-se de ação de exigir contas fundada em mandato outorgado para recebimento de encargos locatícios ajuizada por AUTOR(A)</w:t>
        <w:br/>
        <w:t xml:space="preserve"> em face de Arnoldo do AUTOR(A). A r. sentença proferida às fls. 416/420 rejeitou parcialmente as contas, “declarando a existência de crédito em favor do Autor no importe de R$ 17.044,68, o qual será atualizado de acordo com os índices da tabela prática do Egrégio TJSP, a partir da propositura da ação, com a incidência de juros de moratórios a partir da citação. Fixo os honorários em 10% do valor do crédito, em decorrência da sucumbência recíproca (o Autor entendia ser o débito o total da locação e o réu do apontado às fls. 102/104), cada parte arcará com metade do valor das custas, despesas processuais e honorários, respeitada eventual gratuidade” </w:t>
      </w:r>
    </w:p>
    <w:p w:rsidR="00920C49" w:rsidRDefault="00920C49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Inconformado, recorre o requerido (fls. 424/434). Sustenta, em síntese, que a sentença deve ser reformada por haver cerceamento de defesa, já que foram indeferidas a produção de provas essenciais, como a oitiva do autor e de testemunhas, que comprovariam que os descontos nos aluguéis foram autorizados pelas partes para custear reparos no imóvel e quitar dívidas pendentes. Alega que as contas apresentadas estão devidamente comprovadas por documentos juntados aos autos, os quais demonstram a destinação dos valores, e que não administrava o imóvel, cabendo à coproprietária Bianca a gestão e recebimento dos valores de aluguel. Por fim, argumenta que, à época, o autor possuía apenas 50% do imóvel e, portanto, o débito não poderia ser integralmente imputado ao requerido, razão pela qual pede a anulação da sentença para reabertura da fase probatória ou, subsidiariamente, a reforma para que as contas sejam acolhidas integralmente.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(fls. 435/436 e 447/448) e regularmente processado, sem contrarrazões. Recebido, neste momento, em seus efeitos legais, nos termos do artigo 1.012 do Código de AUTOR(A).</w:t>
      </w:r>
    </w:p>
    <w:p w:rsidR="00920C49" w:rsidRPr="00980A50" w:rsidRDefault="00D14C33" w:rsidP="00920C49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nas razões recursais e na r. sentença prolatada, pelo meu voto, nego provimento ao recurso.</w:t>
      </w:r>
    </w:p>
    <w:p w:rsidR="001B4F95" w:rsidRDefault="001B4F95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o autor, em sua inicial, que celebrou com o réu um acordo no qual este foi designado para receber os valores de aluguéis referentes à locação de um imóvel de sua propriedade. Sustenta que, transcorridos dez meses, o réu deixou de prestar contas acerca das quantias recebidas e de efetuar os repasses devidos, resultando em um prejuízo estimado em R$ 35.000,00, correspondentes aos aluguéis, além de um depósito adicional de R$ 10.500,00. Diante da omissão, o autor ajuizou a presente ação de exigir contas, buscando a apuração detalhada dos valores recebidos e o reconhecimento de eventual saldo devedor, com a devida atualização monetária.</w:t>
      </w:r>
    </w:p>
    <w:p w:rsidR="000F6337" w:rsidRDefault="001B4F95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o réu sustenta que não possui a obrigação de prestar contas ao autor, alegando que sua função se limitava a permitir que sua conta bancária fosse utilizada para o recebimento dos aluguéis, a pedido de sua filha, Bianca, ex-esposa do autor, em razão de bloqueios judiciais nas contas dos coproprietários do imóvel. Afirma que não administrava o bem, sendo a gestão realizada exclusivamente por Bianca, que tratava diretamente com a inquilina sobre questões relativas à locação e às despesas. Argumenta, ainda, que repassava os valores à coproprietária, não sendo responsável por débitos ou omissões, e requer a improcedência da ação, por ausência de legitimidade passiva e de relação jurídica que imponha o dever de prestar contas.</w:t>
      </w:r>
    </w:p>
    <w:p w:rsidR="009C0AD2" w:rsidRDefault="001B4F95" w:rsidP="001B4F9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 sentença da primeira fase afastou as preliminares arguidas pelo réu e julgou procedente o pedido, determinando a prestação de contas sobre os valores recebidos. O réu apresentou as contas com documentos, que foram impugnados pelo autor, enquanto o réu solicitou produção de prova testemunhal. Terceiros interessados, incluindo a coproprietária e mãe dos filhos do autor, habilitaram-se no processo requerendo penhora no rosto dos autos de eventuais créditos em favor do autor. Após a apresentação de alegações finais e a conversão do julgamento em diligência para a realização de perícia contábil, o réu não realizou o depósito dos honorários periciais dentro do prazo, acarretando a preclusão da prova. </w:t>
      </w:r>
    </w:p>
    <w:p w:rsidR="009C0AD2" w:rsidRDefault="009C0AD2" w:rsidP="001B4F9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Diversas penhoras no rosto dos autos foram registradas ao longo do processo, oriundas de execuções trabalhistas e de natureza alimentar. A [VARA] Trabalho de São Vicente anotou penhoras nos valores de R$ 163.493,40 (processo nº 0000000-00.0000.0.00.0000) e R$ 18.445,69 (processo nº 0000000-00.0000.0.00.0000), enquanto a [VARA] Trabalho de São Vicente registrou uma penhora de R$ 78.000,00 (processo nº 0000000-00.0000.0.00.0000). Habilitações relacionadas a essas penhoras foram apresentadas no processo, visando resguardar créditos prioritários.</w:t>
      </w:r>
    </w:p>
    <w:p w:rsidR="001B4F95" w:rsidRDefault="009C0AD2" w:rsidP="001B4F9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Adveio, então, a r. sentença da segunda fase da ação de exigir contas, que rejeitou parcialmente as contas apresentadas pelo réu e declarou a existência de crédito no importe de R$ 17.044,68 em favor do autor. </w:t>
      </w:r>
    </w:p>
    <w:p w:rsidR="009C0AD2" w:rsidRDefault="009C0AD2" w:rsidP="001B4F9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504CF7" w:rsidRDefault="009C0AD2" w:rsidP="00504CF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Inicialmente, afasto a preliminar de cerceamento de defesa, tendo em vista que a prova testemunhal requerida pelo réu não possui força probatória determinante no contexto de uma ação de exigir contas, cuja natureza demanda preferencialmente a produção de prova documental ou contábil. No presente caso, a prova mais adequada para esclarecer a controvérsia seria a perícia contábil, que, entretanto, restou preclusa em razão da inércia do réu ao não providenciar o pagamento dos honorários periciais no prazo fixado. </w:t>
      </w:r>
    </w:p>
    <w:p w:rsidR="009C0AD2" w:rsidRDefault="003C6D7A" w:rsidP="00504CF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Ademais, cumpre ressaltar que, nos termos do artigo 370 do CPC, a prova é produzida para formar o convencimento do juiz, sendo desnecessária a realização de atos instrutórios que não se mostrem indispensáveis ou eficazes à elucidação dos fatos controvertidos. Pondere-se, ainda, que a prova pretendida pelo requerido se destinava a demonstrar a inexistência de obrigação de prestar contas, matéria já definida na sentença que julgou a primeira fase da ação. Portanto, não há que se falar em cerceamento de defesa.</w:t>
      </w:r>
    </w:p>
    <w:p w:rsidR="005B2440" w:rsidRDefault="003C6D7A" w:rsidP="005B244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mérito, considerando o conjunto probatório do feito e a preclusão da prova pericial contábil, de rigor a manutenção do valor de R$ 17.044,68, calculado na r. sentença. O apelante, em sede recursal, repete o peticionado na prestação de contas informada após a r. sentença da primeira fase (fls. 94/101), contas estas que foram parcialmente rejeitadas na r. sentença e, no meu sentir, nada há o que reconsiderar.</w:t>
      </w:r>
    </w:p>
    <w:p w:rsidR="005B2440" w:rsidRDefault="005B2440" w:rsidP="005B244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Anoto que as questões envolvendo o autor e sua ex-esposa (filha do requerido, mas terceira nesta lide), também locadora do imóvel, devem ser dirimidas, se o caso, pelas vias próprias. </w:t>
      </w:r>
    </w:p>
    <w:p w:rsidR="00902486" w:rsidRDefault="00902486" w:rsidP="005B244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Improvido o apelo, majoro a verba honorária imposta ao requerido em mais 2% do valor crédito, que se soma ao imposto em sentença.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nego provimento ao recurso.</w:t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6768" w:rsidRDefault="00FA6768">
      <w:pPr>
        <w:spacing w:after="0" w:line="240" w:lineRule="auto"/>
      </w:pPr>
      <w:r>
        <w:separator/>
      </w:r>
    </w:p>
  </w:endnote>
  <w:endnote w:type="continuationSeparator" w:id="0">
    <w:p w:rsidR="00FA6768" w:rsidRDefault="00FA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A045F5">
      <w:t xml:space="preserve">s - </w:t>
    </w:r>
    <w:r w:rsidR="00A045F5">
      <w:fldChar w:fldCharType="begin"/>
    </w:r>
    <w:r w:rsidR="00A045F5">
      <w:instrText>PAGE   \* MERGEFORMAT</w:instrText>
    </w:r>
    <w:r w:rsidR="00A045F5">
      <w:fldChar w:fldCharType="separate"/>
    </w:r>
    <w:r w:rsidR="00A045F5">
      <w:t>2</w:t>
    </w:r>
    <w:r w:rsidR="00A045F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6768" w:rsidRDefault="00FA6768">
      <w:pPr>
        <w:spacing w:after="0" w:line="240" w:lineRule="auto"/>
      </w:pPr>
      <w:r>
        <w:separator/>
      </w:r>
    </w:p>
  </w:footnote>
  <w:footnote w:type="continuationSeparator" w:id="0">
    <w:p w:rsidR="00FA6768" w:rsidRDefault="00FA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A045F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A045F5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A045F5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A045F5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74C6C"/>
    <w:rsid w:val="000B778C"/>
    <w:rsid w:val="000C11C3"/>
    <w:rsid w:val="000F2CCF"/>
    <w:rsid w:val="000F6337"/>
    <w:rsid w:val="00171308"/>
    <w:rsid w:val="001B4F95"/>
    <w:rsid w:val="00241C16"/>
    <w:rsid w:val="002B52B6"/>
    <w:rsid w:val="00313ED3"/>
    <w:rsid w:val="003313FC"/>
    <w:rsid w:val="00373541"/>
    <w:rsid w:val="00395A26"/>
    <w:rsid w:val="003C6D7A"/>
    <w:rsid w:val="00504CF7"/>
    <w:rsid w:val="00540190"/>
    <w:rsid w:val="00547F6F"/>
    <w:rsid w:val="005B2440"/>
    <w:rsid w:val="00713D14"/>
    <w:rsid w:val="00731FB7"/>
    <w:rsid w:val="007735D9"/>
    <w:rsid w:val="007B4EF3"/>
    <w:rsid w:val="00893C91"/>
    <w:rsid w:val="008D0772"/>
    <w:rsid w:val="00902486"/>
    <w:rsid w:val="00920C49"/>
    <w:rsid w:val="00993E7A"/>
    <w:rsid w:val="009B41D1"/>
    <w:rsid w:val="009C0AD2"/>
    <w:rsid w:val="009C1C19"/>
    <w:rsid w:val="009D2960"/>
    <w:rsid w:val="00A045F5"/>
    <w:rsid w:val="00A56273"/>
    <w:rsid w:val="00A85A1C"/>
    <w:rsid w:val="00AD15E8"/>
    <w:rsid w:val="00AE51F2"/>
    <w:rsid w:val="00B2724A"/>
    <w:rsid w:val="00B60616"/>
    <w:rsid w:val="00BF0248"/>
    <w:rsid w:val="00CC5A66"/>
    <w:rsid w:val="00D14C33"/>
    <w:rsid w:val="00D21077"/>
    <w:rsid w:val="00D778B4"/>
    <w:rsid w:val="00D872C9"/>
    <w:rsid w:val="00DA581B"/>
    <w:rsid w:val="00DF0AE4"/>
    <w:rsid w:val="00E93BFB"/>
    <w:rsid w:val="00EA08CF"/>
    <w:rsid w:val="00EC296C"/>
    <w:rsid w:val="00FA6768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EDE848D-B0E8-4A46-80AD-C7AC20AD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1282</Words>
  <Characters>6923</Characters>
  <Application>Microsoft Office Word</Application>
  <DocSecurity>4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