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2ª VARA CÍVEL DO FORO REGIONAL XII – NOSSA SENHORA DO Ó</w:t>
      </w:r>
    </w:p>
    <w:p w:rsidR="00D14C33" w:rsidRPr="006A6130" w:rsidRDefault="00D14C33" w:rsidP="00D14C33">
      <w:pPr>
        <w:spacing w:after="0" w:line="360" w:lineRule="auto"/>
        <w:jc w:val="both"/>
        <w:rPr>
          <w:rFonts w:ascii="Arial" w:hAnsi="Arial" w:cs="Arial"/>
          <w:b/>
          <w:bCs/>
          <w:sz w:val="24"/>
        </w:rPr>
      </w:pPr>
      <w:r>
        <w:t>APELANTE: ADRIANA GODOY MARIANO E OUTRO</w:t>
      </w:r>
    </w:p>
    <w:p w:rsidR="00D14C33" w:rsidRPr="00853E15" w:rsidRDefault="00D14C33" w:rsidP="00D14C33">
      <w:pPr>
        <w:spacing w:after="0" w:line="360" w:lineRule="auto"/>
        <w:jc w:val="both"/>
        <w:rPr>
          <w:rFonts w:ascii="Arial" w:hAnsi="Arial" w:cs="Arial"/>
          <w:b/>
          <w:bCs/>
          <w:sz w:val="24"/>
        </w:rPr>
      </w:pPr>
      <w:r>
        <w:t>APELADOS: ESPÓLIO DE MARIA EUGÊNIA CARVALHO DA FONSECA E OUTROS</w:t>
      </w:r>
    </w:p>
    <w:p w:rsidR="00D14C33" w:rsidRPr="00853E15" w:rsidRDefault="00D14C33" w:rsidP="00D14C33">
      <w:pPr>
        <w:spacing w:after="0" w:line="360" w:lineRule="auto"/>
        <w:jc w:val="both"/>
        <w:rPr>
          <w:rFonts w:ascii="Arial" w:hAnsi="Arial" w:cs="Arial"/>
          <w:sz w:val="24"/>
        </w:rPr>
      </w:pPr>
      <w:r>
        <w:t>JUIZ PROLATOR: JOSÉ ROBERTO LEME ALVES DE OLIVEIRA</w:t>
        <w:br/>
      </w:r>
    </w:p>
    <w:p w:rsidR="00D14C33" w:rsidRDefault="00D14C33" w:rsidP="00D14C33">
      <w:pPr>
        <w:spacing w:after="0" w:line="360" w:lineRule="auto"/>
        <w:jc w:val="both"/>
        <w:rPr>
          <w:rFonts w:ascii="Arial" w:hAnsi="Arial" w:cs="Arial"/>
          <w:b/>
          <w:sz w:val="24"/>
        </w:rPr>
      </w:pPr>
      <w:r>
        <w:t>VOTO Nº 10.298</w:t>
      </w:r>
    </w:p>
    <w:p w:rsidR="00D14C33" w:rsidRPr="00324889" w:rsidRDefault="00D14C33" w:rsidP="00D14C33">
      <w:pPr>
        <w:spacing w:after="0" w:line="360" w:lineRule="auto"/>
        <w:jc w:val="both"/>
        <w:rPr>
          <w:rFonts w:ascii="Arial" w:hAnsi="Arial" w:cs="Arial"/>
          <w:sz w:val="24"/>
        </w:rPr>
      </w:pPr>
      <w:r/>
    </w:p>
    <w:p w:rsidR="00D14C33" w:rsidRDefault="009B61AC" w:rsidP="009B61AC">
      <w:pPr>
        <w:pStyle w:val="Recuodecorpodetexto"/>
        <w:rPr>
          <w:rFonts w:ascii="Arial" w:hAnsi="Arial" w:cs="Arial"/>
          <w:sz w:val="22"/>
          <w:szCs w:val="22"/>
        </w:rPr>
      </w:pPr>
      <w:r>
        <w:t>APELAÇÃO – AÇÃO DE DESPEJO CUMULADA COM COBRANÇA DE ALUGUÉIS – Sentença de procedência para decretar o despejo, condenar os réus ao pagamento dos aluguéis em atraso e rejeitar os pedidos reconvencionais. Insurgência da requerida. Aduz que realizou pagamento parcial e que as benfeitorias realizadas no imóvel justificariam compensação de valores – Ausência de comprovação de pagamento integral dos aluguéis e encargos locatícios – Inadimplência configurada – Alegação de benfeitorias necessárias não demonstrada de forma inequívoca – Impossibilidade de compensação – Depósito caução não comprovado – Notificação regular e legítima para retomada do imóvel – Má-fé contratual não evidenciada – Ônus da prova não atendido pelos réus – Manutenção da sentença pelos seus próprios fundamentos – Majoração dos honorários advocatícios recursais, observada a gratuidade judiciária concedida à apelante –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7C2A54" w:rsidRDefault="007C2A54" w:rsidP="00D14C33">
      <w:pPr>
        <w:spacing w:line="360" w:lineRule="auto"/>
        <w:ind w:firstLine="1418"/>
        <w:jc w:val="both"/>
        <w:rPr>
          <w:rFonts w:ascii="Arial" w:hAnsi="Arial" w:cs="Arial"/>
          <w:sz w:val="24"/>
          <w:szCs w:val="24"/>
        </w:rPr>
      </w:pPr>
      <w:r>
        <w:t>Trata-se de ação de despejo cumulada com cobrança de aluguéis fundada em inadimplemento contratual ajuizada pelo Espólio de Maria Eugênia Carvalho da Fonseca e outros em face de Antônio AUTOR(A) e AUTOR(A), julgada procedente pela r. sentença de fls. (156/158), cujo relatório se adota, para decretar o despejo, condenar ao pagamento dos aluguéis em atraso e rejeitar os pedidos reconvencionais formulados pelos réus.</w:t>
      </w:r>
    </w:p>
    <w:p w:rsidR="007C2A54" w:rsidRDefault="007C2A54" w:rsidP="00D14C33">
      <w:pPr>
        <w:autoSpaceDE w:val="0"/>
        <w:autoSpaceDN w:val="0"/>
        <w:adjustRightInd w:val="0"/>
        <w:spacing w:line="360" w:lineRule="auto"/>
        <w:ind w:firstLine="1418"/>
        <w:jc w:val="both"/>
        <w:rPr>
          <w:rFonts w:ascii="Arial" w:hAnsi="Arial" w:cs="Arial"/>
          <w:sz w:val="24"/>
        </w:rPr>
      </w:pPr>
      <w:r>
        <w:t>Inconformada, recorre a parte ré (fls. 182/188), buscando a reforma do julgado. Aduz, em síntese, que não houve inadimplência, uma vez que realizou pagamento parcial; aponta má-fé do espólio por não negociar a renovação contratual; sustenta a ilegitimidade passiva de Antônio AUTOR(A) e requer a compensação de valores pagos a título de benfeitorias no imóvel, incluindo o depósito caução realizado em 1998.</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à parte ré e regularmente processado, com contrarrazões (fls. 212/216).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7C2A54" w:rsidRPr="007C2A54" w:rsidRDefault="007C2A54" w:rsidP="007C2A54">
      <w:pPr>
        <w:tabs>
          <w:tab w:val="center" w:pos="4961"/>
        </w:tabs>
        <w:spacing w:line="360" w:lineRule="auto"/>
        <w:ind w:firstLine="1418"/>
        <w:jc w:val="both"/>
        <w:rPr>
          <w:rFonts w:ascii="Arial" w:hAnsi="Arial" w:cs="Arial"/>
          <w:sz w:val="24"/>
        </w:rPr>
      </w:pPr>
      <w:r>
        <w:t>Narra o espólio autor em sua inicial que os réus deixaram de pagar os aluguéis pactuados, configurando inadimplência, razão pela qual pleiteia o despejo e o pagamento dos valores em atraso.</w:t>
      </w:r>
    </w:p>
    <w:p w:rsidR="007C2A54" w:rsidRPr="007C2A54" w:rsidRDefault="007C2A54" w:rsidP="007C2A54">
      <w:pPr>
        <w:tabs>
          <w:tab w:val="center" w:pos="4961"/>
        </w:tabs>
        <w:spacing w:line="360" w:lineRule="auto"/>
        <w:ind w:firstLine="1418"/>
        <w:jc w:val="both"/>
        <w:rPr>
          <w:rFonts w:ascii="Arial" w:hAnsi="Arial" w:cs="Arial"/>
          <w:sz w:val="24"/>
        </w:rPr>
      </w:pPr>
      <w:r>
        <w:t>Em sede de contestação, os réus alegaram, entre outros pontos, a ilegitimidade passiva de Antônio, o pagamento parcial de R$ 1.050,00, a realização de benfeitorias no imóvel, e a má-fé do espólio por não negociar a renovação contratual; além disso, formularam pedido reconvencional de indenização por danos morais e direito de retenção por benfeitorias.</w:t>
      </w:r>
    </w:p>
    <w:p w:rsidR="00741F5B" w:rsidRDefault="007C2A54" w:rsidP="007C2A54">
      <w:pPr>
        <w:tabs>
          <w:tab w:val="center" w:pos="4961"/>
        </w:tabs>
        <w:spacing w:line="360" w:lineRule="auto"/>
        <w:ind w:firstLine="1418"/>
        <w:jc w:val="both"/>
        <w:rPr>
          <w:rFonts w:ascii="Arial" w:hAnsi="Arial" w:cs="Arial"/>
          <w:sz w:val="24"/>
        </w:rPr>
      </w:pPr>
      <w:r>
        <w:t>Adveio, então, a r. sentença ora guerreada.</w:t>
      </w:r>
    </w:p>
    <w:p w:rsidR="00A628E8" w:rsidRDefault="00A628E8" w:rsidP="007C2A54">
      <w:pPr>
        <w:tabs>
          <w:tab w:val="center" w:pos="4961"/>
        </w:tabs>
        <w:spacing w:line="360" w:lineRule="auto"/>
        <w:ind w:firstLine="1418"/>
        <w:jc w:val="both"/>
        <w:rPr>
          <w:rFonts w:ascii="Arial" w:hAnsi="Arial" w:cs="Arial"/>
          <w:sz w:val="24"/>
        </w:rPr>
      </w:pPr>
      <w:r>
        <w:t>Pois bem.</w:t>
      </w:r>
    </w:p>
    <w:p w:rsidR="00741F5B" w:rsidRDefault="00670FAD" w:rsidP="00741F5B">
      <w:pPr>
        <w:tabs>
          <w:tab w:val="center" w:pos="4961"/>
        </w:tabs>
        <w:spacing w:line="360" w:lineRule="auto"/>
        <w:ind w:firstLine="1418"/>
        <w:jc w:val="both"/>
        <w:rPr>
          <w:rFonts w:ascii="Arial" w:hAnsi="Arial" w:cs="Arial"/>
          <w:sz w:val="24"/>
        </w:rPr>
      </w:pPr>
      <w:r>
        <w:t xml:space="preserve">Da análise dos autos, infere-se que não há comprovação inequívoca da necessidade das benfeitorias realizadas. Isso porque, embora a apelante tenha trazido recibos referentes a reforma do banheiro e troca de telhas (fls. 205/208), não há elementos suficientes que demonstrem, de forma clara e objetiva, exatamente o que foi efetivamente feito no bem. Da mesma forma, não há prova inequívoca do pagamento do valor a título de caução, mormente porque o recibo de fls. 191 está em nome de uma pessoa estranha às partes dos autos. Ademais, a apelante não logrou êxito em comprovar o pagamento dos aluguéis cobrados na presente ação, permanecendo caracterizada a inadimplência que fundamenta o pedido de despejo cumulado com rescisão contratual e cobrança dos aluguéis e encargos da locação. </w:t>
      </w:r>
    </w:p>
    <w:p w:rsidR="00DC1E70" w:rsidRPr="00DC1E70" w:rsidRDefault="00A517C0" w:rsidP="00DC1E70">
      <w:pPr>
        <w:tabs>
          <w:tab w:val="center" w:pos="4961"/>
        </w:tabs>
        <w:spacing w:line="360" w:lineRule="auto"/>
        <w:ind w:firstLine="1418"/>
        <w:jc w:val="both"/>
        <w:rPr>
          <w:rFonts w:ascii="Arial" w:hAnsi="Arial" w:cs="Arial"/>
          <w:sz w:val="24"/>
        </w:rPr>
      </w:pPr>
      <w:r>
        <w:t>Quanto à má-fé contratual, tenho que esta não restou comprovada. Isso porque o contrato de locação firmado entre as partes foi devidamente cumprido durante todo o período de sua vigência. Após o decurso do prazo contratual de 30 meses, os proprietários agiram de forma legítima ao notificarem a requerida para que desocupasse o imóvel, conforme exige a Lei do Inquilinato. A notificação foi realizada de maneira adequada, em respeito às formalidades legais, assegurando à requerida ciência inequívoca acerca da intenção de retomada do bem.</w:t>
      </w:r>
    </w:p>
    <w:p w:rsidR="00A517C0" w:rsidRDefault="00DC1E70" w:rsidP="00DC1E70">
      <w:pPr>
        <w:tabs>
          <w:tab w:val="center" w:pos="4961"/>
        </w:tabs>
        <w:spacing w:line="360" w:lineRule="auto"/>
        <w:ind w:firstLine="1418"/>
        <w:jc w:val="both"/>
        <w:rPr>
          <w:rFonts w:ascii="Arial" w:hAnsi="Arial" w:cs="Arial"/>
          <w:sz w:val="24"/>
        </w:rPr>
      </w:pPr>
      <w:r>
        <w:t>A conduta dos proprietários não evidencia qualquer comportamento contraditório ou abusivo que pudesse configurar má-fé contratual. Ao contrário, ao notificarem a requerida para a desocupação, os locadores exerceram regularmente seu direito de reaver o imóvel, nos termos da legislação vigente.</w:t>
      </w:r>
    </w:p>
    <w:p w:rsidR="00670FAD" w:rsidRPr="00670FAD" w:rsidRDefault="00670FAD" w:rsidP="00670FAD">
      <w:pPr>
        <w:tabs>
          <w:tab w:val="center" w:pos="4961"/>
        </w:tabs>
        <w:spacing w:line="360" w:lineRule="auto"/>
        <w:ind w:firstLine="1418"/>
        <w:jc w:val="both"/>
        <w:rPr>
          <w:rFonts w:ascii="Arial" w:hAnsi="Arial" w:cs="Arial"/>
          <w:sz w:val="24"/>
          <w:szCs w:val="24"/>
        </w:rPr>
      </w:pPr>
      <w:r>
        <w:t>Tendo em vista o conjunto probatório dos autos, inviável afastar os termos da sentença, a qual fica mantida por seus próprios fundamentos, ora adotados como razão de decidir, nos termos do art. 252 do RITJ.</w:t>
      </w:r>
    </w:p>
    <w:p w:rsidR="00670FAD" w:rsidRPr="00670FAD" w:rsidRDefault="00670FAD" w:rsidP="00670FAD">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670FAD" w:rsidRPr="00670FAD" w:rsidRDefault="00670FAD" w:rsidP="00670FAD">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670FAD" w:rsidRPr="00670FAD" w:rsidRDefault="00670FAD" w:rsidP="00670FAD">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670FAD" w:rsidRPr="00670FAD" w:rsidRDefault="00670FAD" w:rsidP="00670FAD">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0F6337" w:rsidRDefault="00741F5B" w:rsidP="00741F5B">
      <w:pPr>
        <w:tabs>
          <w:tab w:val="center" w:pos="4961"/>
        </w:tabs>
        <w:spacing w:line="360" w:lineRule="auto"/>
        <w:ind w:firstLine="1418"/>
        <w:jc w:val="both"/>
        <w:rPr>
          <w:rFonts w:ascii="Arial" w:hAnsi="Arial" w:cs="Arial"/>
          <w:b/>
        </w:rPr>
      </w:pPr>
      <w:r>
        <w:t>Na hipótese, não se verifica a verossimilhança das alegações da apelante, uma vez que, conforme bem analisado pelo MM. Juiz a quo: “Assentada a licitude da notificação sobre o despejo, cai por terra a viga-mestra do pleito de indenização por danos morais formulado em reconvenção. Já o pedido de indenização pelas benfeitorias é contrário à avença, não comportando acolhimento. Por fim, quanto à garantia mencionada, não consta do instrumento contratual.”</w:t>
      </w:r>
    </w:p>
    <w:p w:rsidR="00741F5B" w:rsidRPr="00741F5B" w:rsidRDefault="00741F5B" w:rsidP="00670FAD">
      <w:pPr>
        <w:tabs>
          <w:tab w:val="center" w:pos="4961"/>
        </w:tabs>
        <w:spacing w:line="360" w:lineRule="auto"/>
        <w:ind w:firstLine="1418"/>
        <w:jc w:val="both"/>
        <w:rPr>
          <w:rFonts w:ascii="Arial" w:hAnsi="Arial" w:cs="Arial"/>
          <w:bCs/>
          <w:sz w:val="24"/>
          <w:szCs w:val="24"/>
        </w:rPr>
      </w:pPr>
      <w:r>
        <w:t xml:space="preserve">Nos termos do art. 373, inciso II, do Código de AUTOR(A), o ônus de comprovar os fatos impeditivos, modificativos ou extintivos do direito do autor recai sobre a parte requerida. No caso em comento, a parte ré não se desincumbiu desse ônus. Embora tenha alegado a realização de benfeitorias necessárias, como a reforma do banheiro e a troca de telhas, não apresentou provas inequívocas que demonstrassem a necessidade dessas intervenções, tampouco evidências claras de que as melhorias foram realizadas de maneira condizente com o alegado ou que estavam diretamente relacionadas aos recibos juntados. </w:t>
      </w:r>
    </w:p>
    <w:p w:rsidR="00741F5B" w:rsidRPr="00741F5B" w:rsidRDefault="00741F5B" w:rsidP="00741F5B">
      <w:pPr>
        <w:tabs>
          <w:tab w:val="center" w:pos="4961"/>
        </w:tabs>
        <w:spacing w:line="360" w:lineRule="auto"/>
        <w:ind w:firstLine="1418"/>
        <w:jc w:val="both"/>
        <w:rPr>
          <w:rFonts w:ascii="Arial" w:hAnsi="Arial" w:cs="Arial"/>
          <w:bCs/>
          <w:sz w:val="24"/>
          <w:szCs w:val="24"/>
        </w:rPr>
      </w:pPr>
      <w:r>
        <w:t>Além disso, no tocante à cobrança dos aluguéis, a apelante também não comprovou o pagamento integral dos valores devidos, limitando-se a alegar um pagamento parcial que, isoladamente, não é suficiente para afastar a configuração da mora contratual.</w:t>
      </w:r>
    </w:p>
    <w:p w:rsidR="00A628E8" w:rsidRPr="00022ED0" w:rsidRDefault="00022ED0" w:rsidP="00022ED0">
      <w:pPr>
        <w:spacing w:after="0" w:line="360" w:lineRule="auto"/>
        <w:ind w:firstLine="1418"/>
        <w:jc w:val="both"/>
        <w:rPr>
          <w:rFonts w:ascii="Arial" w:hAnsi="Arial" w:cs="Arial"/>
          <w:sz w:val="24"/>
          <w:szCs w:val="24"/>
        </w:rPr>
      </w:pPr>
      <w:r>
        <w:t xml:space="preserve">A hipótese, portanto, é manutenção da sentença pelos seus próprios e bem lançados fundamentos jurídicos. </w:t>
      </w:r>
    </w:p>
    <w:p w:rsidR="00D14C33" w:rsidRPr="005738D4" w:rsidRDefault="00D14C33" w:rsidP="00D14C33">
      <w:pPr>
        <w:tabs>
          <w:tab w:val="center" w:pos="4961"/>
        </w:tabs>
        <w:spacing w:line="360" w:lineRule="auto"/>
        <w:ind w:firstLine="1418"/>
        <w:jc w:val="both"/>
        <w:rPr>
          <w:rFonts w:ascii="Arial" w:hAnsi="Arial" w:cs="Arial"/>
          <w:sz w:val="24"/>
        </w:rPr>
      </w:pPr>
      <w:r>
        <w:t xml:space="preserve"> Diante do resultado do recurso, de rigor a majoração dos honorários advocatícios devidos em sede recursal, que fixo em 12% em relação ao pedido principal e 12% em relação ao pedido reconvencional, observada a gratuidade processual deferida à apelante.</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4348" w:rsidRDefault="008E4348">
      <w:pPr>
        <w:spacing w:after="0" w:line="240" w:lineRule="auto"/>
      </w:pPr>
      <w:r>
        <w:separator/>
      </w:r>
    </w:p>
  </w:endnote>
  <w:endnote w:type="continuationSeparator" w:id="0">
    <w:p w:rsidR="008E4348" w:rsidRDefault="008E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8E4348">
      <w:t xml:space="preserve">s - </w:t>
    </w:r>
    <w:r w:rsidR="008E4348">
      <w:fldChar w:fldCharType="begin"/>
    </w:r>
    <w:r w:rsidR="008E4348">
      <w:instrText>PAGE   \* MERGEFORMAT</w:instrText>
    </w:r>
    <w:r w:rsidR="008E4348">
      <w:fldChar w:fldCharType="separate"/>
    </w:r>
    <w:r w:rsidR="008E4348">
      <w:t>2</w:t>
    </w:r>
    <w:r w:rsidR="008E434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4348" w:rsidRDefault="008E4348">
      <w:pPr>
        <w:spacing w:after="0" w:line="240" w:lineRule="auto"/>
      </w:pPr>
      <w:r>
        <w:separator/>
      </w:r>
    </w:p>
  </w:footnote>
  <w:footnote w:type="continuationSeparator" w:id="0">
    <w:p w:rsidR="008E4348" w:rsidRDefault="008E4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8E4348">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8E4348">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8E4348">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8E4348">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22ED0"/>
    <w:rsid w:val="000B778C"/>
    <w:rsid w:val="000F6337"/>
    <w:rsid w:val="00135B00"/>
    <w:rsid w:val="00157738"/>
    <w:rsid w:val="00171308"/>
    <w:rsid w:val="0036564D"/>
    <w:rsid w:val="00432B56"/>
    <w:rsid w:val="00540190"/>
    <w:rsid w:val="00633F90"/>
    <w:rsid w:val="00670FAD"/>
    <w:rsid w:val="00741F5B"/>
    <w:rsid w:val="007B4EF3"/>
    <w:rsid w:val="007C2A54"/>
    <w:rsid w:val="008E4348"/>
    <w:rsid w:val="00993E7A"/>
    <w:rsid w:val="009B41D1"/>
    <w:rsid w:val="009B61AC"/>
    <w:rsid w:val="00A06F07"/>
    <w:rsid w:val="00A517C0"/>
    <w:rsid w:val="00A628E8"/>
    <w:rsid w:val="00B2724A"/>
    <w:rsid w:val="00D14C33"/>
    <w:rsid w:val="00D27E6D"/>
    <w:rsid w:val="00D778B4"/>
    <w:rsid w:val="00DA09B9"/>
    <w:rsid w:val="00DC1E70"/>
    <w:rsid w:val="00E93BFB"/>
    <w:rsid w:val="00EA08CF"/>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4770DEB6-39CF-470D-A99B-C2B843F7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332">
      <w:bodyDiv w:val="1"/>
      <w:marLeft w:val="0"/>
      <w:marRight w:val="0"/>
      <w:marTop w:val="0"/>
      <w:marBottom w:val="0"/>
      <w:divBdr>
        <w:top w:val="none" w:sz="0" w:space="0" w:color="auto"/>
        <w:left w:val="none" w:sz="0" w:space="0" w:color="auto"/>
        <w:bottom w:val="none" w:sz="0" w:space="0" w:color="auto"/>
        <w:right w:val="none" w:sz="0" w:space="0" w:color="auto"/>
      </w:divBdr>
    </w:div>
    <w:div w:id="558980105">
      <w:bodyDiv w:val="1"/>
      <w:marLeft w:val="0"/>
      <w:marRight w:val="0"/>
      <w:marTop w:val="0"/>
      <w:marBottom w:val="0"/>
      <w:divBdr>
        <w:top w:val="none" w:sz="0" w:space="0" w:color="auto"/>
        <w:left w:val="none" w:sz="0" w:space="0" w:color="auto"/>
        <w:bottom w:val="none" w:sz="0" w:space="0" w:color="auto"/>
        <w:right w:val="none" w:sz="0" w:space="0" w:color="auto"/>
      </w:divBdr>
    </w:div>
    <w:div w:id="590479522">
      <w:bodyDiv w:val="1"/>
      <w:marLeft w:val="0"/>
      <w:marRight w:val="0"/>
      <w:marTop w:val="0"/>
      <w:marBottom w:val="0"/>
      <w:divBdr>
        <w:top w:val="none" w:sz="0" w:space="0" w:color="auto"/>
        <w:left w:val="none" w:sz="0" w:space="0" w:color="auto"/>
        <w:bottom w:val="none" w:sz="0" w:space="0" w:color="auto"/>
        <w:right w:val="none" w:sz="0" w:space="0" w:color="auto"/>
      </w:divBdr>
    </w:div>
    <w:div w:id="674460166">
      <w:bodyDiv w:val="1"/>
      <w:marLeft w:val="0"/>
      <w:marRight w:val="0"/>
      <w:marTop w:val="0"/>
      <w:marBottom w:val="0"/>
      <w:divBdr>
        <w:top w:val="none" w:sz="0" w:space="0" w:color="auto"/>
        <w:left w:val="none" w:sz="0" w:space="0" w:color="auto"/>
        <w:bottom w:val="none" w:sz="0" w:space="0" w:color="auto"/>
        <w:right w:val="none" w:sz="0" w:space="0" w:color="auto"/>
      </w:divBdr>
    </w:div>
    <w:div w:id="1131551977">
      <w:bodyDiv w:val="1"/>
      <w:marLeft w:val="0"/>
      <w:marRight w:val="0"/>
      <w:marTop w:val="0"/>
      <w:marBottom w:val="0"/>
      <w:divBdr>
        <w:top w:val="none" w:sz="0" w:space="0" w:color="auto"/>
        <w:left w:val="none" w:sz="0" w:space="0" w:color="auto"/>
        <w:bottom w:val="none" w:sz="0" w:space="0" w:color="auto"/>
        <w:right w:val="none" w:sz="0" w:space="0" w:color="auto"/>
      </w:divBdr>
    </w:div>
    <w:div w:id="1490638740">
      <w:bodyDiv w:val="1"/>
      <w:marLeft w:val="0"/>
      <w:marRight w:val="0"/>
      <w:marTop w:val="0"/>
      <w:marBottom w:val="0"/>
      <w:divBdr>
        <w:top w:val="none" w:sz="0" w:space="0" w:color="auto"/>
        <w:left w:val="none" w:sz="0" w:space="0" w:color="auto"/>
        <w:bottom w:val="none" w:sz="0" w:space="0" w:color="auto"/>
        <w:right w:val="none" w:sz="0" w:space="0" w:color="auto"/>
      </w:divBdr>
    </w:div>
    <w:div w:id="2016178609">
      <w:bodyDiv w:val="1"/>
      <w:marLeft w:val="0"/>
      <w:marRight w:val="0"/>
      <w:marTop w:val="0"/>
      <w:marBottom w:val="0"/>
      <w:divBdr>
        <w:top w:val="none" w:sz="0" w:space="0" w:color="auto"/>
        <w:left w:val="none" w:sz="0" w:space="0" w:color="auto"/>
        <w:bottom w:val="none" w:sz="0" w:space="0" w:color="auto"/>
        <w:right w:val="none" w:sz="0" w:space="0" w:color="auto"/>
      </w:divBdr>
    </w:div>
    <w:div w:id="21372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1384</Words>
  <Characters>7478</Characters>
  <Application>Microsoft Office Word</Application>
  <DocSecurity>4</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