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1ª VARA CÍVEL DO FORO REGIONAL V – SÃO MIGUEL PAULISTA </w:t>
      </w:r>
    </w:p>
    <w:p w:rsidR="00D14C33" w:rsidRPr="006A6130" w:rsidRDefault="00D14C33" w:rsidP="00D14C33">
      <w:pPr>
        <w:spacing w:after="0" w:line="360" w:lineRule="auto"/>
        <w:jc w:val="both"/>
        <w:rPr>
          <w:rFonts w:ascii="Arial" w:hAnsi="Arial" w:cs="Arial"/>
          <w:b/>
          <w:bCs/>
          <w:sz w:val="24"/>
        </w:rPr>
      </w:pPr>
      <w:r>
        <w:t>APELANTE: AUTOR(A) de Almeida</w:t>
      </w:r>
    </w:p>
    <w:p w:rsidR="00D14C33" w:rsidRPr="00374B0A" w:rsidRDefault="00D14C33" w:rsidP="00D14C33">
      <w:pPr>
        <w:spacing w:after="0" w:line="360" w:lineRule="auto"/>
        <w:jc w:val="both"/>
        <w:rPr>
          <w:rFonts w:ascii="Arial" w:hAnsi="Arial" w:cs="Arial"/>
          <w:b/>
          <w:bCs/>
          <w:sz w:val="24"/>
        </w:rPr>
      </w:pPr>
      <w:r>
        <w:t>APELADA: Verônica Andréia Teixeira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10.942</w:t>
      </w:r>
    </w:p>
    <w:p w:rsidR="00D14C33" w:rsidRPr="00324889" w:rsidRDefault="00D14C33" w:rsidP="00D14C33">
      <w:pPr>
        <w:spacing w:after="0" w:line="360" w:lineRule="auto"/>
        <w:jc w:val="both"/>
        <w:rPr>
          <w:rFonts w:ascii="Arial" w:hAnsi="Arial" w:cs="Arial"/>
          <w:sz w:val="24"/>
        </w:rPr>
      </w:pPr>
      <w:r/>
    </w:p>
    <w:p w:rsidR="00D14C33" w:rsidRDefault="00BE608A" w:rsidP="00BE608A">
      <w:pPr>
        <w:pStyle w:val="Recuodecorpodetexto"/>
        <w:rPr>
          <w:rFonts w:ascii="Arial" w:hAnsi="Arial" w:cs="Arial"/>
          <w:sz w:val="22"/>
          <w:szCs w:val="22"/>
        </w:rPr>
      </w:pPr>
      <w:r>
        <w:t>APELAÇÃO – AÇÃO DE DESPEJO – Contrato verbal de locação de imóvel – Sentença de extinção sem resolução de mérito. Insurgência do autor – Alegação de existência de relação locatícia válida e legitimidade ativa – Ausência de comprovação inequívoca do vínculo locatício válido e atual entre as partes – Documentos apresentados insuficientes para demonstrar posse indireta ou relação jurídica que sustente a legitimidade do autor – Reconhecimento da perda de posse pelo autor e reintegração da posse pela CDHU em processo anterior – Sentença irretocável - Manutenção da sentença pelos seus próprios fundamentos – Majoração dos honorários advocatícios fixados em sede recursal, nos termos do art. 85, §11, do CPC.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374B0A" w:rsidRPr="00374B0A" w:rsidRDefault="00374B0A" w:rsidP="00374B0A">
      <w:pPr>
        <w:spacing w:line="360" w:lineRule="auto"/>
        <w:ind w:firstLine="1418"/>
        <w:jc w:val="both"/>
        <w:rPr>
          <w:rFonts w:ascii="Arial" w:hAnsi="Arial" w:cs="Arial"/>
          <w:sz w:val="24"/>
          <w:szCs w:val="24"/>
        </w:rPr>
      </w:pPr>
      <w:r>
        <w:t>Trata-se de ação de despejo fundada em locação verbal de imóvel ajuizada por AUTOR(A) de Almeida em face de Verônica Andréia Teixeira, julgada extinta sem resolução de mérito pela r. sentença de fls. 69/72, cujo relatório se adota, para declarar a inadequação da via eleita em razão da ausência de relação locatícia válida e da falta de legitimidade ativa do autor.</w:t>
      </w:r>
    </w:p>
    <w:p w:rsidR="00374B0A" w:rsidRDefault="00374B0A" w:rsidP="00D14C33">
      <w:pPr>
        <w:autoSpaceDE w:val="0"/>
        <w:autoSpaceDN w:val="0"/>
        <w:adjustRightInd w:val="0"/>
        <w:spacing w:line="360" w:lineRule="auto"/>
        <w:ind w:firstLine="1418"/>
        <w:jc w:val="both"/>
        <w:rPr>
          <w:rFonts w:ascii="Arial" w:hAnsi="Arial" w:cs="Arial"/>
          <w:sz w:val="24"/>
        </w:rPr>
      </w:pPr>
      <w:r>
        <w:t>Inconformado, recorre o autor (fls. 79/87), buscando a reforma do julgado. Aduz, em síntese, a existência de relação locatícia válida entre as partes, confessada pela ré em sua contestação, que a procuração outorgada não transfere posse ou domínio do imóvel e que a ré não demonstrou intenção de posse com animus domini, reforçando sua legitimidade para propor a ação de despejo.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88/89) e regularmente processado, com contrarrazões (fls. 94/99).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4A4D47" w:rsidRPr="004A4D47" w:rsidRDefault="004A4D47" w:rsidP="004A4D47">
      <w:pPr>
        <w:tabs>
          <w:tab w:val="center" w:pos="4961"/>
        </w:tabs>
        <w:spacing w:line="360" w:lineRule="auto"/>
        <w:ind w:firstLine="1418"/>
        <w:jc w:val="both"/>
        <w:rPr>
          <w:rFonts w:ascii="Arial" w:hAnsi="Arial" w:cs="Arial"/>
          <w:sz w:val="24"/>
        </w:rPr>
      </w:pPr>
      <w:r>
        <w:t>Narra o autor em sua inicial que em março de 2010 alugou, mediante avença verbal, um imóvel residencial para a ré pelo valor mensal de R$ 250,00, e que, após notificação para desocupação, a ré permaneceu no imóvel sem efetuar o pagamento do aluguel.</w:t>
      </w:r>
    </w:p>
    <w:p w:rsidR="004A4D47" w:rsidRDefault="004A4D47" w:rsidP="004A4D47">
      <w:pPr>
        <w:tabs>
          <w:tab w:val="center" w:pos="4961"/>
        </w:tabs>
        <w:spacing w:line="360" w:lineRule="auto"/>
        <w:ind w:firstLine="1418"/>
        <w:jc w:val="both"/>
        <w:rPr>
          <w:rFonts w:ascii="Arial" w:hAnsi="Arial" w:cs="Arial"/>
          <w:sz w:val="24"/>
        </w:rPr>
      </w:pPr>
      <w:r>
        <w:t>Em sede de contestação, a ré alegou que o autor perdeu a posse do imóvel em 2009, conforme sentença em favor da CDHU, que ocupava o imóvel desde 2012 de forma mansa e pacífica, realizando benfeitorias, e que não havia relação locatícia válida entre as partes, pleiteando a usucapião.</w:t>
      </w:r>
    </w:p>
    <w:p w:rsidR="00A628E8" w:rsidRDefault="00A628E8" w:rsidP="004A4D47">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4A4D47" w:rsidRPr="004A4D47" w:rsidRDefault="004A4D47" w:rsidP="004A4D47">
      <w:pPr>
        <w:tabs>
          <w:tab w:val="center" w:pos="4961"/>
        </w:tabs>
        <w:spacing w:line="360" w:lineRule="auto"/>
        <w:ind w:firstLine="1418"/>
        <w:jc w:val="both"/>
        <w:rPr>
          <w:rFonts w:ascii="Arial" w:hAnsi="Arial" w:cs="Arial"/>
          <w:sz w:val="24"/>
        </w:rPr>
      </w:pPr>
      <w:r>
        <w:t>Da análise dos autos, infere-se que não há comprovação inequívoca da existência de uma relação locatícia válida entre as partes. Isso porque, embora o apelante tenha alegado a existência de contrato verbal de locação e trazido comprovantes de pagamento de aluguéis pela apelada, esses elementos não são suficientes para demonstrar, de forma clara e objetiva, a legitimidade ativa do autor, mormente diante da perda de posse do imóvel pelo apelante desde 2009, conforme reconhecido na sentença do processo nº 0000000-00.0000.0.00.0000.</w:t>
      </w:r>
    </w:p>
    <w:p w:rsidR="004A4D47" w:rsidRPr="004A4D47" w:rsidRDefault="004A4D47" w:rsidP="004A4D47">
      <w:pPr>
        <w:tabs>
          <w:tab w:val="center" w:pos="4961"/>
        </w:tabs>
        <w:spacing w:line="360" w:lineRule="auto"/>
        <w:ind w:firstLine="1418"/>
        <w:jc w:val="both"/>
        <w:rPr>
          <w:rFonts w:ascii="Arial" w:hAnsi="Arial" w:cs="Arial"/>
          <w:sz w:val="24"/>
        </w:rPr>
      </w:pPr>
      <w:r>
        <w:t>Ademais, o apelante não logrou êxito em demonstrar a existência de posse indireta ou qualquer vínculo jurídico que sustentasse a relação locatícia alegada. A alegação de que a ré confessou a locação é contraditada pela documentação e pelos atos processuais, os quais indicam que a posse exercida pela ré é mansa e pacífica desde 2012, sem comprovação de relação locatícia posterior à reintegração da posse pela CDHU.</w:t>
      </w:r>
    </w:p>
    <w:p w:rsidR="004A4D47" w:rsidRPr="004A4D47" w:rsidRDefault="004A4D47" w:rsidP="004A4D47">
      <w:pPr>
        <w:tabs>
          <w:tab w:val="center" w:pos="4961"/>
        </w:tabs>
        <w:spacing w:line="360" w:lineRule="auto"/>
        <w:ind w:firstLine="1418"/>
        <w:jc w:val="both"/>
        <w:rPr>
          <w:rFonts w:ascii="Arial" w:hAnsi="Arial" w:cs="Arial"/>
          <w:sz w:val="24"/>
        </w:rPr>
      </w:pPr>
      <w:r>
        <w:t>Tendo em vista o conjunto probatório dos autos, inviável afastar os termos da sentença, a qual fica mantida por seus próprios fundamentos, ora adotados como razão de decidir, nos termos do art. 252 do RITJ.</w:t>
      </w:r>
    </w:p>
    <w:p w:rsidR="004A4D47" w:rsidRPr="00670FAD" w:rsidRDefault="004A4D47" w:rsidP="004A4D47">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4A4D47" w:rsidRPr="00670FAD" w:rsidRDefault="004A4D47" w:rsidP="004A4D47">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4A4D47" w:rsidRPr="00670FAD" w:rsidRDefault="004A4D47" w:rsidP="004A4D47">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4A4D47" w:rsidRPr="00670FAD" w:rsidRDefault="004A4D47" w:rsidP="004A4D47">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E608A" w:rsidRPr="00022ED0" w:rsidRDefault="00BE608A" w:rsidP="00BE608A">
      <w:pPr>
        <w:spacing w:after="0" w:line="360" w:lineRule="auto"/>
        <w:ind w:firstLine="1418"/>
        <w:jc w:val="both"/>
        <w:rPr>
          <w:rFonts w:ascii="Arial" w:hAnsi="Arial" w:cs="Arial"/>
          <w:sz w:val="24"/>
          <w:szCs w:val="24"/>
        </w:rPr>
      </w:pPr>
      <w:r>
        <w:t xml:space="preserve">A hipótese, portanto, é manutenção da sentença pelos seus próprios e bem lançados fundamentos jurídicos. </w:t>
      </w:r>
    </w:p>
    <w:p w:rsidR="00D14C33" w:rsidRPr="005738D4" w:rsidRDefault="00BE608A" w:rsidP="00BE608A">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devidos em sede recursal, que fixo em 12% sobre o valor atualizado da causa.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105F" w:rsidRDefault="009D105F">
      <w:pPr>
        <w:spacing w:after="0" w:line="240" w:lineRule="auto"/>
      </w:pPr>
      <w:r>
        <w:separator/>
      </w:r>
    </w:p>
  </w:endnote>
  <w:endnote w:type="continuationSeparator" w:id="0">
    <w:p w:rsidR="009D105F" w:rsidRDefault="009D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AB48E8">
      <w:t xml:space="preserve">s - </w:t>
    </w:r>
    <w:r w:rsidR="00AB48E8">
      <w:fldChar w:fldCharType="begin"/>
    </w:r>
    <w:r w:rsidR="00AB48E8">
      <w:instrText>PAGE   \* MERGEFORMAT</w:instrText>
    </w:r>
    <w:r w:rsidR="00AB48E8">
      <w:fldChar w:fldCharType="separate"/>
    </w:r>
    <w:r w:rsidR="00AB48E8">
      <w:t>2</w:t>
    </w:r>
    <w:r w:rsidR="00AB48E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105F" w:rsidRDefault="009D105F">
      <w:pPr>
        <w:spacing w:after="0" w:line="240" w:lineRule="auto"/>
      </w:pPr>
      <w:r>
        <w:separator/>
      </w:r>
    </w:p>
  </w:footnote>
  <w:footnote w:type="continuationSeparator" w:id="0">
    <w:p w:rsidR="009D105F" w:rsidRDefault="009D1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B48E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B48E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B48E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B48E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227838"/>
    <w:rsid w:val="00374B0A"/>
    <w:rsid w:val="00432B56"/>
    <w:rsid w:val="004A4D47"/>
    <w:rsid w:val="00540190"/>
    <w:rsid w:val="00606F58"/>
    <w:rsid w:val="007B4EF3"/>
    <w:rsid w:val="00810570"/>
    <w:rsid w:val="009004A8"/>
    <w:rsid w:val="00993E7A"/>
    <w:rsid w:val="009B41D1"/>
    <w:rsid w:val="009D105F"/>
    <w:rsid w:val="00A138B2"/>
    <w:rsid w:val="00A628E8"/>
    <w:rsid w:val="00AB48E8"/>
    <w:rsid w:val="00B2724A"/>
    <w:rsid w:val="00BE608A"/>
    <w:rsid w:val="00D14C33"/>
    <w:rsid w:val="00D778B4"/>
    <w:rsid w:val="00DF2BDF"/>
    <w:rsid w:val="00E769CE"/>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B6D6BF70-FDC7-4A95-B21C-BC4DED7C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9801">
      <w:bodyDiv w:val="1"/>
      <w:marLeft w:val="0"/>
      <w:marRight w:val="0"/>
      <w:marTop w:val="0"/>
      <w:marBottom w:val="0"/>
      <w:divBdr>
        <w:top w:val="none" w:sz="0" w:space="0" w:color="auto"/>
        <w:left w:val="none" w:sz="0" w:space="0" w:color="auto"/>
        <w:bottom w:val="none" w:sz="0" w:space="0" w:color="auto"/>
        <w:right w:val="none" w:sz="0" w:space="0" w:color="auto"/>
      </w:divBdr>
    </w:div>
    <w:div w:id="260258954">
      <w:bodyDiv w:val="1"/>
      <w:marLeft w:val="0"/>
      <w:marRight w:val="0"/>
      <w:marTop w:val="0"/>
      <w:marBottom w:val="0"/>
      <w:divBdr>
        <w:top w:val="none" w:sz="0" w:space="0" w:color="auto"/>
        <w:left w:val="none" w:sz="0" w:space="0" w:color="auto"/>
        <w:bottom w:val="none" w:sz="0" w:space="0" w:color="auto"/>
        <w:right w:val="none" w:sz="0" w:space="0" w:color="auto"/>
      </w:divBdr>
    </w:div>
    <w:div w:id="755398337">
      <w:bodyDiv w:val="1"/>
      <w:marLeft w:val="0"/>
      <w:marRight w:val="0"/>
      <w:marTop w:val="0"/>
      <w:marBottom w:val="0"/>
      <w:divBdr>
        <w:top w:val="none" w:sz="0" w:space="0" w:color="auto"/>
        <w:left w:val="none" w:sz="0" w:space="0" w:color="auto"/>
        <w:bottom w:val="none" w:sz="0" w:space="0" w:color="auto"/>
        <w:right w:val="none" w:sz="0" w:space="0" w:color="auto"/>
      </w:divBdr>
    </w:div>
    <w:div w:id="1844586172">
      <w:bodyDiv w:val="1"/>
      <w:marLeft w:val="0"/>
      <w:marRight w:val="0"/>
      <w:marTop w:val="0"/>
      <w:marBottom w:val="0"/>
      <w:divBdr>
        <w:top w:val="none" w:sz="0" w:space="0" w:color="auto"/>
        <w:left w:val="none" w:sz="0" w:space="0" w:color="auto"/>
        <w:bottom w:val="none" w:sz="0" w:space="0" w:color="auto"/>
        <w:right w:val="none" w:sz="0" w:space="0" w:color="auto"/>
      </w:divBdr>
    </w:div>
    <w:div w:id="2073388247">
      <w:bodyDiv w:val="1"/>
      <w:marLeft w:val="0"/>
      <w:marRight w:val="0"/>
      <w:marTop w:val="0"/>
      <w:marBottom w:val="0"/>
      <w:divBdr>
        <w:top w:val="none" w:sz="0" w:space="0" w:color="auto"/>
        <w:left w:val="none" w:sz="0" w:space="0" w:color="auto"/>
        <w:bottom w:val="none" w:sz="0" w:space="0" w:color="auto"/>
        <w:right w:val="none" w:sz="0" w:space="0" w:color="auto"/>
      </w:divBdr>
    </w:div>
    <w:div w:id="21296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997</Words>
  <Characters>5390</Characters>
  <Application>Microsoft Office Word</Application>
  <DocSecurity>4</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