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3ª VARA CÍVEL DO FORO REGIONAL V – SÃO MIGUEL PAULISTA</w:t>
      </w:r>
    </w:p>
    <w:p w:rsidR="00D14C33" w:rsidRPr="006A6130" w:rsidRDefault="00D14C33" w:rsidP="00D14C33">
      <w:pPr>
        <w:spacing w:after="0" w:line="360" w:lineRule="auto"/>
        <w:jc w:val="both"/>
        <w:rPr>
          <w:rFonts w:ascii="Arial" w:hAnsi="Arial" w:cs="Arial"/>
          <w:b/>
          <w:bCs/>
          <w:sz w:val="24"/>
        </w:rPr>
      </w:pPr>
      <w:r>
        <w:t xml:space="preserve">APELANTES: AUTOR(A) da AUTOR(A) e outro </w:t>
      </w:r>
    </w:p>
    <w:p w:rsidR="00D14C33" w:rsidRPr="00853E15" w:rsidRDefault="00D14C33" w:rsidP="00D14C33">
      <w:pPr>
        <w:spacing w:after="0" w:line="360" w:lineRule="auto"/>
        <w:jc w:val="both"/>
        <w:rPr>
          <w:rFonts w:ascii="Arial" w:hAnsi="Arial" w:cs="Arial"/>
          <w:b/>
          <w:bCs/>
          <w:sz w:val="24"/>
        </w:rPr>
      </w:pPr>
      <w:r>
        <w:t xml:space="preserve">APELADOS: Sebastião AUTOR(A) </w:t>
      </w:r>
    </w:p>
    <w:p w:rsidR="00D14C33" w:rsidRPr="00853E15" w:rsidRDefault="00D14C33" w:rsidP="00D14C33">
      <w:pPr>
        <w:spacing w:after="0" w:line="360" w:lineRule="auto"/>
        <w:jc w:val="both"/>
        <w:rPr>
          <w:rFonts w:ascii="Arial" w:hAnsi="Arial" w:cs="Arial"/>
          <w:sz w:val="24"/>
        </w:rPr>
      </w:pPr>
      <w:r>
        <w:t>JUIZ PROLATOR: FÁBIO HENRIQUE FALCONE GARCIA</w:t>
      </w:r>
    </w:p>
    <w:p w:rsidR="00D14C33" w:rsidRDefault="00D14C33" w:rsidP="00D14C33">
      <w:pPr>
        <w:spacing w:after="0" w:line="360" w:lineRule="auto"/>
        <w:jc w:val="both"/>
        <w:rPr>
          <w:rFonts w:ascii="Arial" w:hAnsi="Arial" w:cs="Arial"/>
          <w:b/>
          <w:sz w:val="24"/>
        </w:rPr>
      </w:pPr>
      <w:r>
        <w:t>VOTO Nº 10.945</w:t>
      </w:r>
    </w:p>
    <w:p w:rsidR="00D14C33" w:rsidRPr="00324889" w:rsidRDefault="00D14C33" w:rsidP="00D14C33">
      <w:pPr>
        <w:spacing w:after="0" w:line="360" w:lineRule="auto"/>
        <w:jc w:val="both"/>
        <w:rPr>
          <w:rFonts w:ascii="Arial" w:hAnsi="Arial" w:cs="Arial"/>
          <w:sz w:val="24"/>
        </w:rPr>
      </w:pPr>
      <w:r/>
    </w:p>
    <w:p w:rsidR="000965D9" w:rsidRPr="000965D9" w:rsidRDefault="000965D9" w:rsidP="000965D9">
      <w:pPr>
        <w:pStyle w:val="Recuodecorpodetexto"/>
        <w:rPr>
          <w:rFonts w:ascii="Arial" w:hAnsi="Arial" w:cs="Arial"/>
          <w:sz w:val="22"/>
          <w:szCs w:val="22"/>
        </w:rPr>
      </w:pPr>
      <w:r>
        <w:t>APELAÇÃO – LOCAÇÃO NÃO RESIDENCIAL - RESCISÃO CONTRATUAL CUMULADA COM INDENIZAÇÃO - BENFEITORIAS - Improcedência – Insurgência das autoras.</w:t>
      </w:r>
    </w:p>
    <w:p w:rsidR="00D14C33" w:rsidRDefault="000965D9" w:rsidP="000965D9">
      <w:pPr>
        <w:pStyle w:val="Recuodecorpodetexto"/>
        <w:rPr>
          <w:rFonts w:ascii="Arial" w:hAnsi="Arial" w:cs="Arial"/>
          <w:sz w:val="22"/>
          <w:szCs w:val="22"/>
        </w:rPr>
      </w:pPr>
      <w:r>
        <w:t>Quitação mútua. Termo firmado entre as partes impede pretensão indenizatória – Inexistência de prova de vício de consentimento. Benfeitorias. Ausência de autorização expressa – Indenização indevida (art. 35 da Lei 8.245/91). Danos materiais e morais. Nexo causal não demonstrado – Inexistência de demonstração quanto ao prazo e à extensão da interdição do imóvel vizinho. Sentença mantida. Aplicação do art. 252 do RITJSP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AB3FA1" w:rsidRDefault="00AB3FA1" w:rsidP="00D14C33">
      <w:pPr>
        <w:spacing w:line="360" w:lineRule="auto"/>
        <w:ind w:firstLine="1418"/>
        <w:jc w:val="both"/>
        <w:rPr>
          <w:rFonts w:ascii="Arial" w:hAnsi="Arial" w:cs="Arial"/>
          <w:sz w:val="24"/>
          <w:szCs w:val="24"/>
        </w:rPr>
      </w:pPr>
      <w:r>
        <w:t>Trata-se de ação de rescisão contratual cumulada com pedido de indenização por danos morais, materiais e lucros cessantes, fundada em alegados danos causados ao ponto comercial locado em razão de obras realizadas pelo réu, ajuizada por AUTOR(A) da AUTOR(A) e Quinta do AUTOR(A). em face de Sebastião AUTOR(A), julgada improcedente pela r. sentença de fls. 205/206, cujo relatório se adota.</w:t>
      </w:r>
    </w:p>
    <w:p w:rsidR="00C31254" w:rsidRDefault="00C31254" w:rsidP="00D14C33">
      <w:pPr>
        <w:autoSpaceDE w:val="0"/>
        <w:autoSpaceDN w:val="0"/>
        <w:adjustRightInd w:val="0"/>
        <w:spacing w:line="360" w:lineRule="auto"/>
        <w:ind w:firstLine="1418"/>
        <w:jc w:val="both"/>
        <w:rPr>
          <w:rFonts w:ascii="Arial" w:hAnsi="Arial" w:cs="Arial"/>
          <w:sz w:val="24"/>
        </w:rPr>
      </w:pPr>
      <w:r>
        <w:t>Inconformadas, recorrem as autoras (fls. 214/222 e 225/235), buscando a reforma da sentença. Alegam, em síntese, que o documento de quitação juntado aos autos (fl. 163) não abrange a renúncia ao direito de pleitear indenização pelos danos materiais e morais sofridos em decorrência das obras irregulares realizadas pelo réu, que comprometeram a segurança do imóvel e culminaram em sua interdição, inviabilizando o exercício da atividade comercial. Sustentam, ainda, que a assinatura do referido termo ocorreu em estado de perigo, configurando vício de consentimento, uma vez que as autoras enfrentavam grave crise financeira e necessitavam dos valores para saldar dívidas com fornecedores e empregados. Aduzem que o réu descumpriu as obrigações contratuais e legais, nos termos da Lei nº 8.245/91, requerendo, assim, a reforma integral da sentença para condená-lo ao pagamento de multa contratual, indenização por danos materiais, lucros cessantes e danos morais.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em grau recursal (fls. 259/260) e regularmente processado, com contrarrazões (fls. 240/242 e 246/248).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874CA7" w:rsidRPr="00874CA7" w:rsidRDefault="00874CA7" w:rsidP="00874CA7">
      <w:pPr>
        <w:tabs>
          <w:tab w:val="center" w:pos="4961"/>
        </w:tabs>
        <w:spacing w:line="360" w:lineRule="auto"/>
        <w:ind w:firstLine="1418"/>
        <w:jc w:val="both"/>
        <w:rPr>
          <w:rFonts w:ascii="Arial" w:hAnsi="Arial" w:cs="Arial"/>
          <w:sz w:val="24"/>
        </w:rPr>
      </w:pPr>
      <w:r>
        <w:t>Narra a parte autora, em sua inicial, que mantinha relação locatícia com o réu desde fevereiro de 2017 e que, em razão da queda de um muro decorrente de obras realizadas pelo réu, o imóvel foi interditado, impossibilitando a continuidade das atividades comerciais. Afirma, ainda, que realizou diversas benfeitorias no imóvel, que valorizaram o ponto comercial, e que, em virtude da interdição e da conduta do réu, foi compelida a rescindir o contrato de locação, sofrendo prejuízos materiais, lucros cessantes e danos morais, pelos quais pleiteia indenização, além da aplicação de multa contratual.</w:t>
      </w:r>
    </w:p>
    <w:p w:rsidR="00874CA7" w:rsidRPr="00874CA7" w:rsidRDefault="00874CA7" w:rsidP="00874CA7">
      <w:pPr>
        <w:tabs>
          <w:tab w:val="center" w:pos="4961"/>
        </w:tabs>
        <w:spacing w:line="360" w:lineRule="auto"/>
        <w:ind w:firstLine="1418"/>
        <w:jc w:val="both"/>
        <w:rPr>
          <w:rFonts w:ascii="Arial" w:hAnsi="Arial" w:cs="Arial"/>
          <w:sz w:val="24"/>
        </w:rPr>
      </w:pPr>
      <w:r>
        <w:t>Em sede de contestação, o réu aduz que a rescisão do contrato ocorreu de forma consensual, mediante a celebração de termo de quitação mútua, que impede qualquer pretensão indenizatória posterior. Sustenta, ainda, que o evento de queda do muro foi solucionado em curto prazo, não havendo risco à segurança do imóvel ou prejuízo à continuidade das atividades comerciais das autoras. Ademais, refuta a existência de nexo causal entre as alegações de danos materiais, morais e lucros cessantes e sua conduta, ressaltando que eventuais benfeitorias realizadas no imóvel foram incorporadas ao bem, sem direito à indenização, conforme pactuado em contrato.</w:t>
      </w:r>
    </w:p>
    <w:p w:rsidR="005B02A7" w:rsidRDefault="00874CA7" w:rsidP="00874CA7">
      <w:pPr>
        <w:tabs>
          <w:tab w:val="center" w:pos="4961"/>
        </w:tabs>
        <w:spacing w:line="360" w:lineRule="auto"/>
        <w:ind w:firstLine="1418"/>
        <w:jc w:val="both"/>
        <w:rPr>
          <w:rFonts w:ascii="Arial" w:hAnsi="Arial" w:cs="Arial"/>
          <w:sz w:val="24"/>
        </w:rPr>
      </w:pPr>
      <w:r>
        <w:t>Adveio, então, a r. sentença ora guerreada, que julgou improcedentes os pedidos autorais, fundamentando-se na quitação mútua firmada pelas partes e na ausência de demonstração concreta de vício de consentimento, descumprimento contratual ou prejuízos efetivamente imputáveis à conduta do réu.</w:t>
      </w:r>
    </w:p>
    <w:p w:rsidR="00A628E8" w:rsidRDefault="00A628E8" w:rsidP="00874CA7">
      <w:pPr>
        <w:tabs>
          <w:tab w:val="center" w:pos="4961"/>
        </w:tabs>
        <w:spacing w:line="360" w:lineRule="auto"/>
        <w:ind w:firstLine="1418"/>
        <w:jc w:val="both"/>
        <w:rPr>
          <w:rFonts w:ascii="Arial" w:hAnsi="Arial" w:cs="Arial"/>
          <w:sz w:val="24"/>
        </w:rPr>
      </w:pPr>
      <w:r>
        <w:t>Pois bem.</w:t>
      </w:r>
    </w:p>
    <w:p w:rsidR="00F37CC8" w:rsidRDefault="00F37CC8" w:rsidP="00F37CC8">
      <w:pPr>
        <w:tabs>
          <w:tab w:val="center" w:pos="4961"/>
        </w:tabs>
        <w:spacing w:line="360" w:lineRule="auto"/>
        <w:ind w:firstLine="1418"/>
        <w:jc w:val="both"/>
        <w:rPr>
          <w:rFonts w:ascii="Arial" w:hAnsi="Arial" w:cs="Arial"/>
          <w:sz w:val="24"/>
        </w:rPr>
      </w:pPr>
      <w:r>
        <w:t xml:space="preserve">A matéria devolvida em sede recursal cinge-se à responsabilidade do locador pelos danos alegados pelas autoras e à possibilidade de indenização por benfeitorias. </w:t>
      </w:r>
    </w:p>
    <w:p w:rsidR="00F37CC8" w:rsidRPr="00F37CC8" w:rsidRDefault="00F37CC8" w:rsidP="00F37CC8">
      <w:pPr>
        <w:tabs>
          <w:tab w:val="center" w:pos="4961"/>
        </w:tabs>
        <w:spacing w:line="360" w:lineRule="auto"/>
        <w:ind w:firstLine="1418"/>
        <w:jc w:val="both"/>
        <w:rPr>
          <w:rFonts w:ascii="Arial" w:hAnsi="Arial" w:cs="Arial"/>
          <w:sz w:val="24"/>
        </w:rPr>
      </w:pPr>
      <w:r>
        <w:t xml:space="preserve">Sempre respeitado entendimento contrário, entendo que não há como acolher nenhum dos pedidos. Isso porque não há nos autos comprovação de que as reformas tenham sido expressamente autorizadas pelo locador, requisito essencial para eventual indenização, nos termos do art. 35 da Lei do Inquilinato. </w:t>
      </w:r>
    </w:p>
    <w:p w:rsidR="00F37CC8" w:rsidRPr="00F37CC8" w:rsidRDefault="00F37CC8" w:rsidP="007A349C">
      <w:pPr>
        <w:tabs>
          <w:tab w:val="center" w:pos="4961"/>
        </w:tabs>
        <w:spacing w:line="360" w:lineRule="auto"/>
        <w:ind w:firstLine="1418"/>
        <w:jc w:val="both"/>
        <w:rPr>
          <w:rFonts w:ascii="Arial" w:hAnsi="Arial" w:cs="Arial"/>
          <w:sz w:val="24"/>
        </w:rPr>
      </w:pPr>
      <w:r>
        <w:t>Também não há elementos que demonstrem que a rescisão contratual tenha ocorrido sob estado de perigo ou coação, de modo que o termo de quitação firmado entre as partes (fl. 163) deve prevalecer. A dificuldade financeira enfrentada pela autora, por si só, não caracteriza vício de consentimento, sendo necessária prova concreta de que o locador tenha se valido dessa condição para impor obrigações excessivamente onerosas, o que não restou demonstrado.</w:t>
      </w:r>
    </w:p>
    <w:p w:rsidR="00AE6298" w:rsidRDefault="00FF6E64" w:rsidP="00006A29">
      <w:pPr>
        <w:tabs>
          <w:tab w:val="center" w:pos="4961"/>
        </w:tabs>
        <w:spacing w:line="360" w:lineRule="auto"/>
        <w:ind w:firstLine="1418"/>
        <w:jc w:val="both"/>
        <w:rPr>
          <w:rFonts w:ascii="Arial" w:hAnsi="Arial" w:cs="Arial"/>
          <w:sz w:val="24"/>
        </w:rPr>
      </w:pPr>
      <w:r>
        <w:t xml:space="preserve">Por fim, os pedidos de lucros cessantes e danos morais não merecem acolhimento, pois inexiste comprovação do nexo causal entre a conduta do locador e os prejuízos alegados. Ademais, embora a autora afirme que a interdição imposta pela AUTOR(A) perdurou por prazo indeterminado e o réu sustente que tenha se limitado a quatro dias, nenhuma das partes apresentou documentação oficial apta a comprovar suas alegações. A autora limitou-se a juntar um auto de infração (fl. 46/47) expedido em face de uma terceira parte estranha à relação locatícia em questão. </w:t>
      </w:r>
    </w:p>
    <w:p w:rsidR="00FF6E64" w:rsidRDefault="00AE6298" w:rsidP="00006A29">
      <w:pPr>
        <w:tabs>
          <w:tab w:val="center" w:pos="4961"/>
        </w:tabs>
        <w:spacing w:line="360" w:lineRule="auto"/>
        <w:ind w:firstLine="1418"/>
        <w:jc w:val="both"/>
        <w:rPr>
          <w:rFonts w:ascii="Arial" w:hAnsi="Arial" w:cs="Arial"/>
          <w:sz w:val="24"/>
        </w:rPr>
      </w:pPr>
      <w:r>
        <w:t>Assim, a ausência do laudo de vistoria da AUTOR(A) não apenas inviabiliza a aferição precisa da extensão da interdição, como também compromete a verificação da relação de causalidade entre os atos do réu e os danos alegados pela autora.</w:t>
      </w:r>
    </w:p>
    <w:p w:rsidR="00FF6E64" w:rsidRDefault="00FF6E64" w:rsidP="00006A29">
      <w:pPr>
        <w:tabs>
          <w:tab w:val="center" w:pos="4961"/>
        </w:tabs>
        <w:spacing w:line="360" w:lineRule="auto"/>
        <w:ind w:firstLine="1418"/>
        <w:jc w:val="both"/>
        <w:rPr>
          <w:rFonts w:ascii="Arial" w:hAnsi="Arial" w:cs="Arial"/>
          <w:sz w:val="24"/>
        </w:rPr>
      </w:pPr>
      <w:r>
        <w:t>Diante da ausência dos requisitos caracterizadores da responsabilidade civil e da inexistência de autorização formal para a realização das benfeitorias, não há fundamento jurídico que justifique a reforma da sentença, impondo-se sua manutenção.</w:t>
      </w:r>
    </w:p>
    <w:p w:rsidR="00006A29" w:rsidRPr="006336F9" w:rsidRDefault="00006A29" w:rsidP="00006A29">
      <w:pPr>
        <w:tabs>
          <w:tab w:val="center" w:pos="4961"/>
        </w:tabs>
        <w:spacing w:line="360" w:lineRule="auto"/>
        <w:ind w:firstLine="1418"/>
        <w:jc w:val="both"/>
        <w:rPr>
          <w:rFonts w:ascii="Arial" w:hAnsi="Arial" w:cs="Arial"/>
          <w:sz w:val="24"/>
          <w:szCs w:val="24"/>
        </w:rPr>
      </w:pPr>
      <w:r>
        <w:t>Tendo em vista o conjunto probatório dos autos, inviável afastar os termos da sentença, a qual fica mantida por seus próprios fundamentos, ora adotados como razão de decidir, nos termos do art. 252 do RITJ.</w:t>
      </w:r>
    </w:p>
    <w:p w:rsidR="00006A29" w:rsidRPr="00670FAD" w:rsidRDefault="00006A29" w:rsidP="00006A29">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006A29" w:rsidRPr="00670FAD" w:rsidRDefault="00006A29" w:rsidP="00006A29">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006A29" w:rsidRPr="00670FAD" w:rsidRDefault="00006A29" w:rsidP="00006A29">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006A29" w:rsidRDefault="00006A29" w:rsidP="00006A29">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006A29" w:rsidRDefault="00006A29" w:rsidP="00006A29">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bem lançados fundamentos jurídicos.</w:t>
      </w:r>
    </w:p>
    <w:p w:rsidR="00006A29" w:rsidRDefault="00006A29" w:rsidP="00006A29">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atualizado da causa, observada a gratuidade judiciária concedida.</w:t>
      </w:r>
    </w:p>
    <w:p w:rsidR="00D14C33" w:rsidRPr="005738D4" w:rsidRDefault="00D14C33" w:rsidP="00006A29">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006A29">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5EDE" w:rsidRDefault="00EA5EDE">
      <w:pPr>
        <w:spacing w:after="0" w:line="240" w:lineRule="auto"/>
      </w:pPr>
      <w:r>
        <w:separator/>
      </w:r>
    </w:p>
  </w:endnote>
  <w:endnote w:type="continuationSeparator" w:id="0">
    <w:p w:rsidR="00EA5EDE" w:rsidRDefault="00EA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E215F5">
      <w:t xml:space="preserve">s - </w:t>
    </w:r>
    <w:r w:rsidR="00E215F5">
      <w:fldChar w:fldCharType="begin"/>
    </w:r>
    <w:r w:rsidR="00E215F5">
      <w:instrText>PAGE   \* MERGEFORMAT</w:instrText>
    </w:r>
    <w:r w:rsidR="00E215F5">
      <w:fldChar w:fldCharType="separate"/>
    </w:r>
    <w:r w:rsidR="00E215F5">
      <w:t>2</w:t>
    </w:r>
    <w:r w:rsidR="00E215F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5EDE" w:rsidRDefault="00EA5EDE">
      <w:pPr>
        <w:spacing w:after="0" w:line="240" w:lineRule="auto"/>
      </w:pPr>
      <w:r>
        <w:separator/>
      </w:r>
    </w:p>
  </w:footnote>
  <w:footnote w:type="continuationSeparator" w:id="0">
    <w:p w:rsidR="00EA5EDE" w:rsidRDefault="00EA5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E215F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E215F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E215F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E215F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6A29"/>
    <w:rsid w:val="000965D9"/>
    <w:rsid w:val="000B778C"/>
    <w:rsid w:val="000F6337"/>
    <w:rsid w:val="00157738"/>
    <w:rsid w:val="00171308"/>
    <w:rsid w:val="003E1E4D"/>
    <w:rsid w:val="00432B56"/>
    <w:rsid w:val="00540190"/>
    <w:rsid w:val="005A589F"/>
    <w:rsid w:val="005B02A7"/>
    <w:rsid w:val="00640B52"/>
    <w:rsid w:val="007A349C"/>
    <w:rsid w:val="007B4EF3"/>
    <w:rsid w:val="00874CA7"/>
    <w:rsid w:val="008F58E5"/>
    <w:rsid w:val="00993E7A"/>
    <w:rsid w:val="009B41D1"/>
    <w:rsid w:val="009B5CA6"/>
    <w:rsid w:val="00A21EBA"/>
    <w:rsid w:val="00A628E8"/>
    <w:rsid w:val="00AB3FA1"/>
    <w:rsid w:val="00AE6298"/>
    <w:rsid w:val="00B2724A"/>
    <w:rsid w:val="00B64D27"/>
    <w:rsid w:val="00C31254"/>
    <w:rsid w:val="00C36BE5"/>
    <w:rsid w:val="00CC787D"/>
    <w:rsid w:val="00CC78EB"/>
    <w:rsid w:val="00D01692"/>
    <w:rsid w:val="00D14C33"/>
    <w:rsid w:val="00D67BCA"/>
    <w:rsid w:val="00D778B4"/>
    <w:rsid w:val="00E215F5"/>
    <w:rsid w:val="00E8356D"/>
    <w:rsid w:val="00E93BFB"/>
    <w:rsid w:val="00EA08CF"/>
    <w:rsid w:val="00EA5EDE"/>
    <w:rsid w:val="00EC296C"/>
    <w:rsid w:val="00F37CC8"/>
    <w:rsid w:val="00FA6689"/>
    <w:rsid w:val="00FE0EC2"/>
    <w:rsid w:val="00FF5CF9"/>
    <w:rsid w:val="00FF6E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35A7EE52-5202-4B95-8FEE-33F231B9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34361">
      <w:bodyDiv w:val="1"/>
      <w:marLeft w:val="0"/>
      <w:marRight w:val="0"/>
      <w:marTop w:val="0"/>
      <w:marBottom w:val="0"/>
      <w:divBdr>
        <w:top w:val="none" w:sz="0" w:space="0" w:color="auto"/>
        <w:left w:val="none" w:sz="0" w:space="0" w:color="auto"/>
        <w:bottom w:val="none" w:sz="0" w:space="0" w:color="auto"/>
        <w:right w:val="none" w:sz="0" w:space="0" w:color="auto"/>
      </w:divBdr>
    </w:div>
    <w:div w:id="1315259784">
      <w:bodyDiv w:val="1"/>
      <w:marLeft w:val="0"/>
      <w:marRight w:val="0"/>
      <w:marTop w:val="0"/>
      <w:marBottom w:val="0"/>
      <w:divBdr>
        <w:top w:val="none" w:sz="0" w:space="0" w:color="auto"/>
        <w:left w:val="none" w:sz="0" w:space="0" w:color="auto"/>
        <w:bottom w:val="none" w:sz="0" w:space="0" w:color="auto"/>
        <w:right w:val="none" w:sz="0" w:space="0" w:color="auto"/>
      </w:divBdr>
    </w:div>
    <w:div w:id="1470128983">
      <w:bodyDiv w:val="1"/>
      <w:marLeft w:val="0"/>
      <w:marRight w:val="0"/>
      <w:marTop w:val="0"/>
      <w:marBottom w:val="0"/>
      <w:divBdr>
        <w:top w:val="none" w:sz="0" w:space="0" w:color="auto"/>
        <w:left w:val="none" w:sz="0" w:space="0" w:color="auto"/>
        <w:bottom w:val="none" w:sz="0" w:space="0" w:color="auto"/>
        <w:right w:val="none" w:sz="0" w:space="0" w:color="auto"/>
      </w:divBdr>
    </w:div>
    <w:div w:id="1638604338">
      <w:bodyDiv w:val="1"/>
      <w:marLeft w:val="0"/>
      <w:marRight w:val="0"/>
      <w:marTop w:val="0"/>
      <w:marBottom w:val="0"/>
      <w:divBdr>
        <w:top w:val="none" w:sz="0" w:space="0" w:color="auto"/>
        <w:left w:val="none" w:sz="0" w:space="0" w:color="auto"/>
        <w:bottom w:val="none" w:sz="0" w:space="0" w:color="auto"/>
        <w:right w:val="none" w:sz="0" w:space="0" w:color="auto"/>
      </w:divBdr>
    </w:div>
    <w:div w:id="2073313101">
      <w:bodyDiv w:val="1"/>
      <w:marLeft w:val="0"/>
      <w:marRight w:val="0"/>
      <w:marTop w:val="0"/>
      <w:marBottom w:val="0"/>
      <w:divBdr>
        <w:top w:val="none" w:sz="0" w:space="0" w:color="auto"/>
        <w:left w:val="none" w:sz="0" w:space="0" w:color="auto"/>
        <w:bottom w:val="none" w:sz="0" w:space="0" w:color="auto"/>
        <w:right w:val="none" w:sz="0" w:space="0" w:color="auto"/>
      </w:divBdr>
    </w:div>
    <w:div w:id="212063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ED35F41B505D46BF9B04FD84D10126" ma:contentTypeVersion="15" ma:contentTypeDescription="Crie um novo documento." ma:contentTypeScope="" ma:versionID="60c472df6cafd8767b903899b1c90257">
  <xsd:schema xmlns:xsd="http://www.w3.org/2001/XMLSchema" xmlns:xs="http://www.w3.org/2001/XMLSchema" xmlns:p="http://schemas.microsoft.com/office/2006/metadata/properties" xmlns:ns3="cd16391d-0c4d-4e24-a5e0-03d9f58d3cef" xmlns:ns4="95271425-bb6a-421a-99be-8bbb50d2958e" targetNamespace="http://schemas.microsoft.com/office/2006/metadata/properties" ma:root="true" ma:fieldsID="d822a2834a0c679f1ce70750c9ef7ccf" ns3:_="" ns4:_="">
    <xsd:import namespace="cd16391d-0c4d-4e24-a5e0-03d9f58d3cef"/>
    <xsd:import namespace="95271425-bb6a-421a-99be-8bbb50d295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6391d-0c4d-4e24-a5e0-03d9f58d3cef"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71425-bb6a-421a-99be-8bbb50d295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271425-bb6a-421a-99be-8bbb50d2958e" xsi:nil="true"/>
  </documentManagement>
</p:properties>
</file>

<file path=customXml/itemProps1.xml><?xml version="1.0" encoding="utf-8"?>
<ds:datastoreItem xmlns:ds="http://schemas.openxmlformats.org/officeDocument/2006/customXml" ds:itemID="{BCBE168C-D655-415D-90F4-8CEEB4834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6391d-0c4d-4e24-a5e0-03d9f58d3cef"/>
    <ds:schemaRef ds:uri="95271425-bb6a-421a-99be-8bbb50d29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B07E93-8299-453C-824B-87FD1D2B9B8F}">
  <ds:schemaRefs>
    <ds:schemaRef ds:uri="http://schemas.microsoft.com/sharepoint/v3/contenttype/forms"/>
  </ds:schemaRefs>
</ds:datastoreItem>
</file>

<file path=customXml/itemProps3.xml><?xml version="1.0" encoding="utf-8"?>
<ds:datastoreItem xmlns:ds="http://schemas.openxmlformats.org/officeDocument/2006/customXml" ds:itemID="{7E4DB4F2-401E-45EA-B222-511B1BD19C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1391</Words>
  <Characters>7516</Characters>
  <Application>Microsoft Office Word</Application>
  <DocSecurity>4</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0x010100F5ED35F41B505D46BF9B04FD84D10126</vt:lpwstr>
  </property>
</Properties>
</file>