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32C6" w:rsidRDefault="006F32C6" w:rsidP="006F32C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APELAÇÃO Nº 0000000-00.0000.0.00.0000</w:t>
      </w:r>
    </w:p>
    <w:p w:rsidR="006F32C6" w:rsidRPr="00324889" w:rsidRDefault="006F32C6" w:rsidP="006F32C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 xml:space="preserve">COMARCA DE GUARULHOS – 3ª VARA CÍVEL </w:t>
      </w:r>
    </w:p>
    <w:p w:rsidR="006F32C6" w:rsidRPr="006A6130" w:rsidRDefault="006F32C6" w:rsidP="006F32C6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APELANTES: Imobiliária e AUTOR(A) EIRELI / Bruno da AUTOR(A) e outros / AUTOR(A) de Castro</w:t>
      </w:r>
    </w:p>
    <w:p w:rsidR="006F32C6" w:rsidRPr="00853E15" w:rsidRDefault="006F32C6" w:rsidP="006F32C6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APELADOS: AUTOR(A) de Castro / Bruno da AUTOR(A) e outros / Imobiliária e AUTOR(A) EIRELI</w:t>
      </w:r>
    </w:p>
    <w:p w:rsidR="006F32C6" w:rsidRPr="00853E15" w:rsidRDefault="006F32C6" w:rsidP="006F32C6">
      <w:pPr>
        <w:spacing w:after="0" w:line="360" w:lineRule="auto"/>
        <w:jc w:val="both"/>
        <w:rPr>
          <w:rFonts w:ascii="Arial" w:hAnsi="Arial" w:cs="Arial"/>
          <w:sz w:val="24"/>
        </w:rPr>
      </w:pPr>
      <w:r>
        <w:t>JUIZ PROLATOR: AUTOR(A) de Camargo</w:t>
      </w:r>
    </w:p>
    <w:p w:rsidR="006F32C6" w:rsidRDefault="006F32C6" w:rsidP="006F32C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6F32C6" w:rsidRDefault="006F32C6" w:rsidP="006F32C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VOTO Nº 10.947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D14C33" w:rsidRPr="001846F2" w:rsidRDefault="00595138" w:rsidP="00D14C33">
      <w:pPr>
        <w:pStyle w:val="Recuodecorpodetexto"/>
        <w:rPr>
          <w:rFonts w:ascii="Arial" w:hAnsi="Arial" w:cs="Arial"/>
          <w:sz w:val="22"/>
          <w:szCs w:val="22"/>
        </w:rPr>
      </w:pPr>
      <w:r>
        <w:t>APELAÇÃO - Despejo por falta de pagamento cumulada com cobrança – Locação residencial – Preliminar de ilegitimidade passiva acolhida em favor de um dos corréus – Ausência de vínculo contratual com a autora ou os locatários – Inclusão indevida fundada apenas em titularidade de contas de consumo e existência de contrato de cessão e venda particular sem escritura pública do imóvel objeto da lide (“contrato de gaveta”) – Extinção do processo em relação a ele, sem resolução do mérito – Relação locatícia entre autora e corréus Bruno e família incontroversa – Alegada desocupação do imóvel em abril de 2020 – Ausência de entrega formal das chaves ou prova de imissão da autora na posse – Termo final da locação corretamente fixado com base em diligência judicial que constatou a desocupação do bem – Aplicação do artigo 6º, parágrafo único, da Lei nº 8.245/91 – Encargos devidos até a efetiva restituição do imóvel – Inexistência de má-fé, sublocação ou fraude comprovadas – Ausência de prova inequívoca – Alegações que demandariam ação própria de natureza possessória ou dominial – Sentença mantida quanto ao mérito – Honorários majorados – Recurso da autora e dos réus locatários desprovidos – Recurso do corréu Leonardo parcialmente provido.</w:t>
      </w:r>
    </w:p>
    <w:p w:rsidR="00D14C33" w:rsidRDefault="00D14C33" w:rsidP="00D14C33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D14C33" w:rsidRPr="00A55649" w:rsidRDefault="00D14C33" w:rsidP="00D14C33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>
        <w:tab/>
      </w:r>
    </w:p>
    <w:p w:rsidR="00D14C33" w:rsidRDefault="00D14C33" w:rsidP="00D14C3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Vistos.</w:t>
      </w:r>
    </w:p>
    <w:p w:rsidR="006F32C6" w:rsidRPr="00324889" w:rsidRDefault="006F32C6" w:rsidP="00D14C3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6F32C6" w:rsidRPr="006F32C6" w:rsidRDefault="006F32C6" w:rsidP="006F32C6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Trata-se de ação de despejo por falta de pagamento cumulada com cobrança, fundada em contrato de locação residencial firmado em 12/05/2018, ajuizada por Imobiliária e AUTOR(A) EIRELI em face de Bruno da AUTOR(A), Verônica AUTOR(A), AUTOR(A) e Neurisma da AUTOR(A), posteriormente estendida a AUTOR(A) de Castro, julgada parcialmente procedente pela r. sentença de fls. 391/396, complementada após embargos de declaração (fls. 417/425), cujo relatório se adota, para condenar a parte ré ao pagamento de aluguéis vencidos até 10/06/2021, metade do IPTU incidente no período da locação, fatura de energia elétrica e demais encargos legais e sucumbenciais.</w:t>
      </w:r>
    </w:p>
    <w:p w:rsidR="006F32C6" w:rsidRPr="006F32C6" w:rsidRDefault="006F32C6" w:rsidP="006F32C6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Inconformada, recorre a autora (fls. 436/460), buscando a reforma do julgado. Aduz, em síntese, que os réus não comprovaram a desocupação do imóvel em abril de 2020, tampouco entregaram as chaves à locadora, razão pela qual os aluguéis deveriam ser devidos por todo o período até a retomada efetiva da posse. Sustenta ainda a existência de má-fé dos locatários, eventual sublocação irregular ou alienação do imóvel a terceiro sem anuência da proprietária, e pugna pela condenação integral dos réus, expedição de mandado de despejo, reconhecimento da fraude e exclusão de sua responsabilidade pelos encargos sucumbenciais.</w:t>
      </w:r>
    </w:p>
    <w:p w:rsidR="006F32C6" w:rsidRPr="006F32C6" w:rsidRDefault="006F32C6" w:rsidP="006F32C6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Apela também AUTOR(A) de Castro (fls. 466/474), alegando sua ilegitimidade passiva, por ausência de vínculo com a locadora ou os locatários. Afirma ter adquirido o imóvel em 22/02/2018, mediante contrato de cessão de direitos com terceiro, que não foi parte na demanda, e que passou a ocupar o bem somente após a saída dos locatários, devendo ser afastada a revelia e reconhecida sua exclusão da lide.</w:t>
      </w:r>
    </w:p>
    <w:p w:rsidR="006F32C6" w:rsidRPr="006F32C6" w:rsidRDefault="006F32C6" w:rsidP="006F32C6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Os locatários Bruno da AUTOR(A) e demais apelantes (fls. 482/496) também recorrem, sustentando que a sentença contrariou as provas dos autos. Alegam ter desocupado o imóvel em 04/04/2020, com entrega das chaves, e que a responsabilidade pela ocupação posterior e pelas reformas é exclusivamente de Leonardo. Demonstram, ainda, o pagamento integral dos valores reconhecidos como devidos até abril de 2020, e requerem a redução do período de cobrança dos aluguéis, bem como a redistribuição das verbas sucumbenciais.</w:t>
      </w:r>
    </w:p>
    <w:p w:rsidR="006F32C6" w:rsidRPr="006F32C6" w:rsidRDefault="006F32C6" w:rsidP="006F32C6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Recurso tempestivo, preparado (fls. 463/465, 535/537 e 540/541) pela parte autora e réu Leonardo, isento o réu Bruno e outros em razão da gratuidade judiciária concedida em primeiro grau. Regularmente processo e com contrarrazões às fls. 502/505 pelo réu Leonardo e 506/513 pela parte autora. Recebido, neste momento, em seus efeitos legais, nos termos do artigo 1.012 do Código de AUTOR(A).</w:t>
      </w:r>
    </w:p>
    <w:p w:rsidR="006F32C6" w:rsidRPr="006F32C6" w:rsidRDefault="006F32C6" w:rsidP="006F32C6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Não houve oposição ao julgamento virtual.</w:t>
      </w:r>
    </w:p>
    <w:p w:rsidR="00D14C33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É o relatório.</w:t>
      </w:r>
    </w:p>
    <w:p w:rsidR="00D14C33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Respeitados os argumentos expostos nas razões recursais e na r. sentença de primeiro grau, pelo meu voto, nego provimento aos recursos da autora e dos réus, e dou parcial provimento ao recurso do corréu Leonardo.</w:t>
      </w:r>
    </w:p>
    <w:p w:rsidR="0013090A" w:rsidRPr="0013090A" w:rsidRDefault="0013090A" w:rsidP="0013090A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Narra a autora, Imobiliária e AUTOR(A) EIRELI, em sua inicial que firmou contrato de locação residencial com os réus Bruno da AUTOR(A), Verônica AUTOR(A), AUTOR(A) e Neurisma da AUTOR(A), em 12/05/2018, com prazo de 36 meses e valor inicial de R$ 915,00, atualizado para R$ 1.060,72 ao tempo do inadimplemento. Sustenta que os locatários deixaram de pagar os aluguéis a partir de 15/02/2020, além de terem inadimplido com o IPTU desde maio de 2018. Afirma que o imóvel não foi desocupado formalmente, tampouco houve devolução das chaves, sendo necessária a propositura da presente ação para rescisão contratual, despejo e cobrança dos encargos locatícios.</w:t>
      </w:r>
    </w:p>
    <w:p w:rsidR="0013090A" w:rsidRPr="0013090A" w:rsidRDefault="0013090A" w:rsidP="0013090A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Em sede de contestação, os réus alegaram que desocuparam o imóvel em 04/04/2020, deixando-o livre e desembaraçado, e que apenas são responsáveis pelos aluguéis até essa data, além de reconhecerem parcialmente os débitos de IPTU e contas de consumo. Apontaram que metade do IPTU seria de responsabilidade dos ocupantes da outra fração do imóvel. Afirmaram, ainda, que não conhecem o ocupante apontado pela autora (AUTOR(A) de Castro) e que não sublocaram o bem. Requereram o reconhecimento da extinção contratual com base na desocupação e o pagamento proporcional das verbas devidas.</w:t>
      </w:r>
    </w:p>
    <w:p w:rsidR="0013090A" w:rsidRPr="0013090A" w:rsidRDefault="0013090A" w:rsidP="0013090A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Adveio, então, a r. sentença ora guerreada.</w:t>
      </w:r>
    </w:p>
    <w:p w:rsidR="00A628E8" w:rsidRDefault="00A628E8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Pois bem.</w:t>
      </w:r>
    </w:p>
    <w:p w:rsidR="00A946BA" w:rsidRPr="00A946BA" w:rsidRDefault="00E539E9" w:rsidP="00F12AB4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Inicialmente, quanto aos pedidos formulados pela autora em suas razões recursais, entendo que não há o que prover. Isso porque a sentença, já complementada por ocasião do julgamento dos embargos de declaração, reconheceu adequadamente o marco final da locação com base na primeira prova inequívoca de desocupação - qual seja, a diligência do oficial de justiça datada de 10/06/2021. A controvérsia sobre eventual entrega informal das chaves não elide o fato de que cabia aos locatários, como encargo processual, comprovar a restituição formal da posse, nos moldes do artigo 6º, parágrafo único, da Lei nº 8.245/91, o que não ocorreu. No mais, reporto-me à r. sentença de primeiro grau, eis que após a notícia de efetiva desocupação por parte dos réus da relação locatícia, “(...) cabia à autora praticar os atos que entendesse pertinentes para retomar a posse sobre o bem. Se nada foi feito nesse sentido, trata-se de opção da própria autora. Contudo, não se pode admitir que os réus continuem respondendo por aluguéis por tempo indeterminado. Para desfazer a controvérsia em torno da locação, a certidão do Oficial de Justiça é suficiente. Ante seu teor, impõe-se a decretação da resolução do contrato locatício a partir de 10/06/2021.”</w:t>
      </w:r>
    </w:p>
    <w:p w:rsidR="00A946BA" w:rsidRDefault="00A946BA" w:rsidP="00A946BA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Ademais, a pretensão de expedição de mandado de despejo em desfavor de AUTOR(A) de Castro igualmente não merece acolhida. O referido corréu não integra a relação locatícia originária, tampouco restou comprovado nos autos que tenha assumido a ocupação do bem em decorrência de sublocação, cessão ou qualquer vínculo jurídico com os locatários ou com a autora. Sua inclusão na lide decorreu unicamente da titularidade nas contas de consumo, o que não autoriza medida possessória extrema. </w:t>
      </w:r>
    </w:p>
    <w:p w:rsidR="00A946BA" w:rsidRDefault="00A946BA" w:rsidP="00A946BA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Do mesmo modo, não houve nos autos reconhecimento de má-fé por parte dos réus, nem condenação por sublocação ou fraude. Quanto aos pedidos de condenação por esses fundamentos, reporto-me à r. sentença proferida em primeiro grau, que, com acerto, afastou tais alegações por ausência de prova inequívoca de alegado conluio entre os corréus ou fraude. Ressalte-se, ainda, que eventual reconhecimento de fraude ou esbulho demandaria ação própria e específica, de natureza possessória, o que não se compatibiliza com o rito e objeto da presente ação de despejo por inadimplemento contratual.</w:t>
      </w:r>
    </w:p>
    <w:p w:rsidR="00E539E9" w:rsidRDefault="00A946BA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No mais, a detida análise dos autos revela que AUTOR(A) consta como titular registral do imóvel desde 17/11/1980, conforme certidão de matrícula juntada às fls. 479/480. Contudo, a partir desse marco, não há qualquer escritura pública registrada que comprove a transmissão da propriedade a quaisquer das partes envolvidas na presente demanda — seja à autora, à figura de AUTOR(A), tampouco a AUTOR(A) de Castro. O que se observa é uma sucessão informal de cessões possessórias e contratos de gaveta que não foram levados a registro, de modo que todas as discussões travadas nos autos se limitam ao plano obrigacional e possessório, e não ao domínio formal do bem.</w:t>
      </w:r>
    </w:p>
    <w:p w:rsidR="00B72996" w:rsidRPr="00B72996" w:rsidRDefault="00B72996" w:rsidP="00B72996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Nesse contexto, verifica-se que a autora, Imobiliária e AUTOR(A) EIRELI, adquiriu a posse do imóvel por meio de instrumento particular de cessão e transferência de direitos e obrigações firmado com AUTOR(A), datado de 1989, conforme reconhecido na sentença da ação de reintegração de posse nº 0000000-00.0000.0.00.0000, que tramitou na mesma comarca. Naquela demanda, restou assentado que a empresa autora passou a exercer posse jurídica sobre o imóvel desde então, com animus domini, legitimando-se como possuidora direta e mansa até o esbulho narrado nos autos. Destacou-se ainda que, ao tempo da propositura da ação possessória, as testemunhas ouvidas corroboraram a ocupação efetiva do bem pela autora, sendo reconhecida a clandestinidade da entrada dos réus no imóvel.</w:t>
      </w:r>
    </w:p>
    <w:p w:rsidR="00B72996" w:rsidRPr="00B72996" w:rsidRDefault="00B72996" w:rsidP="00B72996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Portanto, ainda que ausente título público registrado, a posse exercida pela autora sobre o imóvel é juridicamente relevante e apta a fundamentar o ajuizamento da presente ação de despejo com cobrança, nos termos do artigo 5º da Lei nº 8.245/91, que autoriza o exercício dessa pretensão tanto pelo proprietário quanto pelo possuidor direto. A ausência de escritura pública de propriedade não elide a legitimidade ativa da autora, mormente diante da sua longa relação de posse com o bem, inclusive demonstrada pelos sucessivos contratos de locação firmados ao longo dos anos, além da regularidade reconhecida em anterior demanda possessória.</w:t>
      </w:r>
    </w:p>
    <w:p w:rsidR="00B72996" w:rsidRPr="00B72996" w:rsidRDefault="00B72996" w:rsidP="00B72996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Por outro lado, os documentos trazidos aos autos por AUTOR(A) de Castro, em especial o contrato particular de cessão firmado com AUTOR(A) em 22/02/2018, não infirmam de imediato a posse da autora. Ao contrário, evidenciam a existência de outra cadeia possessória paralela, igualmente desprovida de registro, o que impõe que eventuais conflitos entre ambas as posses sejam dirimidos em ação própria, não sendo o processo de despejo o meio adequado para debater ou decidir sobre o domínio do bem ou a validade da cadeia sucessória extrajudicial apresentada.</w:t>
      </w:r>
    </w:p>
    <w:p w:rsidR="00906BF0" w:rsidRPr="00906BF0" w:rsidRDefault="00906BF0" w:rsidP="00906BF0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Nesse sentido, no que se refere ao corréu AUTOR(A) de Castro, entendo que a medida de rigor é o acolhimento da preliminar de ilegitimidade passiva. Sua inclusão na demanda decorreu principalmente do fato de constar como titular nas contas de água e luz do imóvel, o que, por si só, não é suficiente para vinculá-lo à relação locatícia discutida nos autos. Não há qualquer elemento que comprove que Leonardo tenha celebrado contrato de locação com a autora, tampouco que tenha recebido aluguéis ou exercido posse derivada em nome desta.</w:t>
      </w:r>
    </w:p>
    <w:p w:rsidR="00906BF0" w:rsidRPr="00906BF0" w:rsidRDefault="00906BF0" w:rsidP="00906BF0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 alegação da autora de que os réus teriam sublocado ou transferido indevidamente o imóvel a Leonardo não encontra respaldo em prova documental ou testemunhal que demonstre vínculo jurídico entre ele e os antigos locatários. O contrato de cessão apresentado por Leonardo, firmado com AUTOR(A) em fevereiro de 2018, revela apenas a existência de uma relação paralela de aquisição possessória, também desprovida de registro, e estranha à locação objeto da presente ação.</w:t>
      </w:r>
    </w:p>
    <w:p w:rsidR="00906BF0" w:rsidRDefault="00906BF0" w:rsidP="00906BF0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Ausente, portanto, qualquer nexo obrigacional entre Leonardo e a autora — ou mesmo entre Leonardo e os réus originalmente locatários —, impõe-se o reconhecimento de sua ilegitimidade passiva. </w:t>
      </w:r>
    </w:p>
    <w:p w:rsidR="00330178" w:rsidRPr="00330178" w:rsidRDefault="00330178" w:rsidP="00330178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No tocante à controvérsia sobre a data de extinção do contrato de locação firmado entre a autora e os réus Bruno da AUTOR(A), Verônica AUTOR(A), AUTOR(A) e Neurisma da AUTOR(A), entendo que a r. sentença não merece reforma. Embora os réus sustentem ter desocupado o imóvel em 04/04/2020, não há nos autos comprovação da entrega formal das chaves, tampouco foi demonstrado que a autora tenha recuperado a posse do bem naquela ocasião.</w:t>
      </w:r>
    </w:p>
    <w:p w:rsidR="00330178" w:rsidRPr="00330178" w:rsidRDefault="00330178" w:rsidP="00330178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É pacífica a jurisprudência desta Corte no sentido de que o termo final da locação coincide, como regra, com a data da efetiva devolução das chaves ao locador seja de forma direta, seja mediante intervenção judicial. A simples desocupação fática, desacompanhada de qualquer comunicação formal ou restituição, não afasta a responsabilidade pelos encargos locatícios.</w:t>
      </w:r>
    </w:p>
    <w:p w:rsidR="00330178" w:rsidRDefault="00330178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No caso dos autos, a primeira evidência concreta de desocupação do imóvel data de 10/06/2021, quando o Oficial de Justiça, em cumprimento de mandado, certificou não encontrar mais os réus no local, além de constatar a existência de uma obra em andamento. Até então, a autora não havia retomado a posse do bem. </w:t>
      </w:r>
    </w:p>
    <w:p w:rsidR="00330178" w:rsidRDefault="00330178" w:rsidP="00330178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Ainda que controvertida a questão da entrega das chaves, é certo que a simples desocupação do imóvel não basta para caracterizar a restituição plena da posse ao locador. Conforme preceitua o parágrafo único do artigo 6º da Lei nº 8.245/91, findo o contrato, a restituição do imóvel dar-se-á mediante a entrega das chaves. Trata-se de encargo do inquilino, que deve demonstrar não apenas que desocupou o bem, mas que efetivamente devolveu as chaves ao locador ou, ao menos, tentou fazê-lo. Na ausência de recibo, seria possível a comprovação de recusa injustificada do locador, hipótese que autorizaria, inclusive, o manejo da ação de consignação de chaves. Não tendo os réus se desincumbido de tal ônus, subsiste a responsabilidade pelos encargos locatícios até a data em que se reputou consumada a imissão na posse pela autora — no caso, a data da diligência do Oficial de Justiça.</w:t>
      </w:r>
    </w:p>
    <w:p w:rsidR="00B72996" w:rsidRDefault="00330178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Assim, bem andou a r. sentença ao considerar tal data como marco para a extinção da locação, em consonância com o disposto no artigo 6º, parágrafo único, da Lei nº 8.245/91 e o entendimento do TJSP:</w:t>
      </w:r>
    </w:p>
    <w:p w:rsidR="00A628E8" w:rsidRDefault="00330178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“Despejo por falta de pagamento cumulado com cobrança – Locação residencial – Preliminares afastadas – Ausência de prejudicialidade externa com a ação declaratória de nulidade da venda do imóvel locado – Discussão irrelevante ao julgamento da causa – Não é necessário comprovar a propriedade para locar o imóvel, bastando ter a posse e entregar o bem em locação – Posse da autora demonstrada nos autos – Locação entre as partes formalizada por meio de contrato escrito – Relação jurídica incontroversa – Entrega das chaves a terceiro estranho à relação locatícia, que seria o suposto novo adquirente do imóvel – Impossibilidade – Termo final da locação é a efetiva entrega das chaves a quem de direito, no caso, a locadora ou a imobiliária que intermediou o negócio – Locação não encerrada – Mora confessada e não purgada – Eventuais problemas no imóvel ou a não localização da imobiliária não justificavam a desocupação sem qualquer aviso à locadora ou imobiliária – Parte poderia se valer de ação consignatória de chaves para encerrar a locação e a cobrança de aluguéis e encargos, o que não ocorreu – Sentença reformada para julgar procedentes os pedidos formulados – Recurso provido.” (TJSP; Apelação Cível 0000000-00.0000.0.00.0000; Relator (a): Mário Daccache; Órgão Julgador: 29ª Câmara de AUTOR(A); Foro de Mairiporã - 2ª. AUTOR(A); Data do Julgamento: 21/05/2024; Data de Registro: 23/05/2024)</w:t>
      </w:r>
    </w:p>
    <w:p w:rsidR="0043238E" w:rsidRDefault="00330178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Ante o exposto, tenho que a hipótese é de parcial reforma da sentença tão somente para excluir AUTOR(A) de Castro do polo passivo da demanda, reconhecendo-se sua ilegitimidade passiva, com a consequente extinção do processo em relação a ele, sem resolução do mérito, nos termos do artigo 485, inciso VI, do Código de AUTOR(A), invertido neste ponto o ônus sucumbencial. </w:t>
      </w:r>
    </w:p>
    <w:p w:rsidR="00330178" w:rsidRDefault="00330178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Mantém-se o decidido quanto aos demais réus locatários, inclusive no tocante à data da extinção do contrato de locação, fixada em 10/06/2021, bem como à condenação ao pagamento dos encargos locatícios e sucumbenciais, nos termos estabelecidos pela r. sentença. </w:t>
      </w:r>
    </w:p>
    <w:p w:rsidR="00A946BA" w:rsidRDefault="00A946BA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Diante do resultado do recurso, de rigor a majoração dos honorários devidos em sede recursal, que fixo em R$ 800,00 ao patrono da parte ré, a serem pagos pela autora, e em 13% sobre o valor atualizado da condenação ao patrono da autora, a serem pagos pelos réus, observada a suspensão da exigibilidade nos termos do artigo 98, § 3º, do Código de AUTOR(A).</w:t>
      </w:r>
    </w:p>
    <w:p w:rsidR="00A946BA" w:rsidRDefault="00A946BA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Sem majoração para o corréu Leonardo, ante o parcial provimento de seu apelo.</w:t>
      </w:r>
    </w:p>
    <w:p w:rsidR="00D14C33" w:rsidRPr="005738D4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Considera-se prequestionada a matéria constitucional e infraconstitucional, desnecessária a citação numérica dos dispositivos legais, bastando a decisão da questão posta (EDROMS 18205/SP, Min. AUTOR(A)), razão pela qual desde já se esclarece desnecessária a interposição de embargos de declaração exclusivamente para tal finalidade.</w:t>
      </w:r>
    </w:p>
    <w:p w:rsidR="00D14C33" w:rsidRPr="005738D4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Ante o , pelo  , NEGO provimento aos recursos da autora e dos réus, e DOU PARCIAL provimento ao recurso do corréu.</w:t>
      </w:r>
    </w:p>
    <w:p w:rsidR="00D14C33" w:rsidRDefault="00D14C33" w:rsidP="00D14C3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D14C33" w:rsidRPr="00324889" w:rsidRDefault="00D14C33" w:rsidP="00D14C3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  <w:szCs w:val="24"/>
        </w:rPr>
      </w:pPr>
      <w:r/>
    </w:p>
    <w:p w:rsidR="00D14C33" w:rsidRPr="00324889" w:rsidRDefault="00D14C33" w:rsidP="00D14C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>JOSÉ AUGUSTO GENOFRE MARTINS</w:t>
      </w:r>
    </w:p>
    <w:p w:rsidR="00D14C33" w:rsidRDefault="00D14C33" w:rsidP="00D14C33">
      <w:pPr>
        <w:spacing w:after="0" w:line="360" w:lineRule="auto"/>
        <w:jc w:val="center"/>
      </w:pPr>
      <w:r>
        <w:t>Relator</w:t>
        <w:tab/>
      </w:r>
    </w:p>
    <w:sectPr w:rsidR="00D14C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83659" w:rsidRDefault="00D83659">
      <w:pPr>
        <w:spacing w:after="0" w:line="240" w:lineRule="auto"/>
      </w:pPr>
      <w:r>
        <w:separator/>
      </w:r>
    </w:p>
  </w:endnote>
  <w:endnote w:type="continuationSeparator" w:id="0">
    <w:p w:rsidR="00D83659" w:rsidRDefault="00D8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2724A" w:rsidRDefault="00993E7A">
    <w:pPr>
      <w:pStyle w:val="Rodap"/>
      <w:jc w:val="right"/>
    </w:pPr>
    <w:r>
      <w:t>d</w:t>
    </w:r>
    <w:r w:rsidR="00D30146">
      <w:t xml:space="preserve">s - </w:t>
    </w:r>
    <w:r w:rsidR="00D30146">
      <w:fldChar w:fldCharType="begin"/>
    </w:r>
    <w:r w:rsidR="00D30146">
      <w:instrText>PAGE   \* MERGEFORMAT</w:instrText>
    </w:r>
    <w:r w:rsidR="00D30146">
      <w:fldChar w:fldCharType="separate"/>
    </w:r>
    <w:r w:rsidR="00D30146">
      <w:t>2</w:t>
    </w:r>
    <w:r w:rsidR="00D3014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83659" w:rsidRDefault="00D83659">
      <w:pPr>
        <w:spacing w:after="0" w:line="240" w:lineRule="auto"/>
      </w:pPr>
      <w:r>
        <w:separator/>
      </w:r>
    </w:p>
  </w:footnote>
  <w:footnote w:type="continuationSeparator" w:id="0">
    <w:p w:rsidR="00D83659" w:rsidRDefault="00D8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2724A" w:rsidRPr="000665B8" w:rsidRDefault="00B2724A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B2724A" w:rsidRPr="000665B8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2724A" w:rsidRPr="000665B8" w:rsidRDefault="00D30146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EC296C" w:rsidRPr="00D0426E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112.5pt;height:64.5pt;visibility:visible">
                <v:imagedata r:id="rId1" o:title="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2724A" w:rsidRPr="000665B8" w:rsidRDefault="00B2724A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B2724A" w:rsidRPr="000665B8" w:rsidRDefault="00D30146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B2724A" w:rsidRPr="000665B8" w:rsidRDefault="00D30146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B2724A" w:rsidRDefault="00D30146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>
            <w:rPr>
              <w:rFonts w:ascii="Times New Roman" w:hAnsi="Times New Roman"/>
              <w:b/>
            </w:rPr>
            <w:t>29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B2724A" w:rsidRPr="000665B8" w:rsidRDefault="00B2724A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B2724A" w:rsidRDefault="00B2724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778C"/>
    <w:rsid w:val="000B778C"/>
    <w:rsid w:val="000F6337"/>
    <w:rsid w:val="0013090A"/>
    <w:rsid w:val="00157738"/>
    <w:rsid w:val="00171308"/>
    <w:rsid w:val="001A1162"/>
    <w:rsid w:val="00330178"/>
    <w:rsid w:val="003E7815"/>
    <w:rsid w:val="003F050A"/>
    <w:rsid w:val="0043238E"/>
    <w:rsid w:val="00432B56"/>
    <w:rsid w:val="00491266"/>
    <w:rsid w:val="004D744E"/>
    <w:rsid w:val="00507456"/>
    <w:rsid w:val="00540190"/>
    <w:rsid w:val="00552A74"/>
    <w:rsid w:val="00595138"/>
    <w:rsid w:val="006F32C6"/>
    <w:rsid w:val="007B4EF3"/>
    <w:rsid w:val="00906BF0"/>
    <w:rsid w:val="009707EB"/>
    <w:rsid w:val="00986E92"/>
    <w:rsid w:val="00993E7A"/>
    <w:rsid w:val="009B41D1"/>
    <w:rsid w:val="009C7EAE"/>
    <w:rsid w:val="00A628E8"/>
    <w:rsid w:val="00A946BA"/>
    <w:rsid w:val="00AD59F8"/>
    <w:rsid w:val="00B2724A"/>
    <w:rsid w:val="00B72996"/>
    <w:rsid w:val="00CA0813"/>
    <w:rsid w:val="00D14C33"/>
    <w:rsid w:val="00D30146"/>
    <w:rsid w:val="00D778B4"/>
    <w:rsid w:val="00D83659"/>
    <w:rsid w:val="00E539E9"/>
    <w:rsid w:val="00E93BFB"/>
    <w:rsid w:val="00EA0325"/>
    <w:rsid w:val="00EA08CF"/>
    <w:rsid w:val="00EC296C"/>
    <w:rsid w:val="00F12AB4"/>
    <w:rsid w:val="00F84DF0"/>
    <w:rsid w:val="00FB2530"/>
    <w:rsid w:val="00FE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mini" w:name="verbetes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225D93C-7C01-4554-9D4D-D93F97FF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33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4C3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14C3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14C3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14C33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D14C33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D14C33"/>
    <w:rPr>
      <w:rFonts w:ascii="Times New Roman" w:eastAsia="Times New Roman" w:hAnsi="Times New Roman" w:cs="Times New Roman"/>
      <w:b/>
      <w:i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9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dediv\Downloads\AP29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AP29.dot</Template>
  <TotalTime>0</TotalTime>
  <Pages>3</Pages>
  <Words>2707</Words>
  <Characters>14620</Characters>
  <Application>Microsoft Office Word</Application>
  <DocSecurity>4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Santos</dc:creator>
  <cp:keywords/>
  <dc:description/>
  <cp:lastModifiedBy>DENISE OLIVEIRA DOS SANTOS</cp:lastModifiedBy>
  <cp:revision>2</cp:revision>
  <dcterms:created xsi:type="dcterms:W3CDTF">2025-06-11T23:23:00Z</dcterms:created>
  <dcterms:modified xsi:type="dcterms:W3CDTF">2025-06-11T23:23:00Z</dcterms:modified>
</cp:coreProperties>
</file>