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5B9F" w:rsidRPr="00026932" w:rsidRDefault="001C5B9F" w:rsidP="001C5B9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>EMBARGOS DE DECLARAÇÃO Nº 0000000-00.0000.0.00.0000/50000</w:t>
      </w:r>
    </w:p>
    <w:p w:rsidR="001C5B9F" w:rsidRPr="00026932" w:rsidRDefault="001C5B9F" w:rsidP="001C5B9F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COMARCA DE OSVALDO CRUZ- 2ª VARA CÍVEL</w:t>
      </w:r>
    </w:p>
    <w:p w:rsidR="001C5B9F" w:rsidRPr="00D4054A" w:rsidRDefault="001C5B9F" w:rsidP="001C5B9F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Embargante: RETONKIL INITIAL DO BRASIL LTDA., atual denominação de AUTOR(A).</w:t>
      </w:r>
    </w:p>
    <w:p w:rsidR="001C5B9F" w:rsidRPr="006817B7" w:rsidRDefault="001C5B9F" w:rsidP="006817B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>Embargada: AUTOR(A).</w:t>
      </w:r>
    </w:p>
    <w:p w:rsidR="001C5B9F" w:rsidRPr="00026932" w:rsidRDefault="001C5B9F" w:rsidP="001C5B9F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VOTO nº 10.948</w:t>
      </w:r>
    </w:p>
    <w:p w:rsidR="008E4010" w:rsidRDefault="008E4010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A95A57" w:rsidRDefault="00A95A57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8E4010" w:rsidRDefault="008E4010" w:rsidP="006103C1">
      <w:pPr>
        <w:pStyle w:val="Recuodecorpodetexto"/>
        <w:rPr>
          <w:b w:val="0"/>
          <w:i/>
          <w:sz w:val="24"/>
        </w:rPr>
      </w:pPr>
      <w:r>
        <w:t>EMBARGOS DE DECLARAÇÃO – Alegação de contradição quanto a jurisprudência utilizada - Acórdão que apreciou os pontos expostos pela parte em sua peça recursal e negou provimento ao mérito da apelação. Recurso conhecido, mas rejeitado, por não se verificar ocorrência de contradição passível de correção. Embargos de declaração não se prestam a alterar o resultado do julgamento quando os fundamentos adotados justificam a decisão proferida. Mera irresignação. Cabimento de efeitos infringentes apenas se a correção dos vícios alterar as premissas do julgado, o que não se verifica no caso em tela. Embargos rejeitados.</w:t>
        <w:tab/>
      </w:r>
    </w:p>
    <w:p w:rsidR="00271BEB" w:rsidRPr="000665B8" w:rsidRDefault="00271BEB" w:rsidP="008E4010">
      <w:pPr>
        <w:spacing w:after="0" w:line="360" w:lineRule="auto"/>
        <w:jc w:val="both"/>
        <w:rPr>
          <w:rFonts w:ascii="Arial" w:hAnsi="Arial"/>
          <w:sz w:val="24"/>
        </w:rPr>
      </w:pPr>
      <w:r/>
    </w:p>
    <w:p w:rsidR="000504F4" w:rsidRPr="008605E8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</w:rPr>
      </w:pPr>
      <w:r>
        <w:t>Vistos.</w:t>
      </w:r>
    </w:p>
    <w:p w:rsidR="000504F4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AF7F08" w:rsidRPr="00AF7F08" w:rsidRDefault="00AF7F08" w:rsidP="00AF7F08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Trata-se de embargos de declaração opostos em face do v. acórdão de fls. 277/284, que deu provimento ao recurso da parte autora e negou provimento ao recurso da parte ré, reconhecendo a inexigibilidade do débito discutido nos autos e fixando honorários advocatícios por equidade no importe de R$ 1.500,00 (mil e quinhentos reais), nos termos do artigo 85, § 8º, do Código de AUTOR(A).</w:t>
      </w:r>
    </w:p>
    <w:p w:rsidR="00AF7F08" w:rsidRPr="00AF7F08" w:rsidRDefault="00AF7F08" w:rsidP="00AF7F08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Em síntese, a embargante sustenta a existência de contradição no acórdão, ao argumento de que teria sido utilizada jurisprudência que, em outro caso, reduziu honorários advocatícios, enquanto, no presente feito, houve a majoração do valor arbitrado na sentença. Argumenta que a fixação dos honorários foi excessiva e desproporcional, requerendo a correção da suposta contradição e a fixação do valor em, no máximo, R$ 1.000,00 (mil reais).</w:t>
      </w:r>
    </w:p>
    <w:p w:rsidR="00747AC9" w:rsidRPr="000665B8" w:rsidRDefault="00747AC9" w:rsidP="008E4010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/>
    </w:p>
    <w:p w:rsidR="008E4010" w:rsidRDefault="008E4010" w:rsidP="008E4010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>
        <w:t>É o relatório.</w:t>
      </w:r>
    </w:p>
    <w:p w:rsidR="006C6706" w:rsidRPr="006C6706" w:rsidRDefault="006C6706" w:rsidP="00367E5C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/>
    </w:p>
    <w:p w:rsidR="006C6706" w:rsidRDefault="006C6706" w:rsidP="006C67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Os embargos de declaração devem ser conhecidos, diante de sua tempestividade, mas rejeitados, vez que não se verifica quaisquer das hipóteses do artigo 1.022 do Código de AUTOR(A).</w:t>
      </w:r>
    </w:p>
    <w:p w:rsidR="006C6706" w:rsidRDefault="006C6706" w:rsidP="006C67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Nos moldes do artigo 1.022 do Código de AUTOR(A), são cabíveis os embargos de declaração quando existente omissão, obscuridade ou contradição quanto a ponto de essencial pronunciamento jurisdicional ou, ainda, se constatada hipótese de erro material.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406899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 caso em tela, contudo, a despeito da argumentação expendida, afere-se que o v. aresto não incorre em nenhuma das situações legais a justificar oposição dos declaratórios, os quais objetivam apenas mudança do resultado para diverso daquele exposto, denotando-se, portanto, nítido caráter infringente.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Os embargos de declaração consubstanciam instrumento de aperfeiçoamento da prestação jurisdicional, destinando-se a purificar o julgado de omissões, contradições, obscuridades ou erros materiais que o enodoem.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Não se olvida a possibilidade de que o acolhimento dos embargos declaratórios venha a modificar o resultado do julgado, atribuindo-lhes, assim, efeitos infringentes. Contudo, é necessário que o resultado decorra da correção de algum dos vícios que autorizam a sua oposição: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“VII - A atribuição de efeitos infringentes, em Embargos de Declaração, somente ocorre quando esses vícios sejam de tal monta que a sua correção necessariamente infirme as premissas do julgado” (AgInt nos EDcl no REsp. nº 1357325/RJ, 1ª Turma, AUTOR(A), julgado em 17.2.2020).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710278" w:rsidRPr="00710278" w:rsidRDefault="00710278" w:rsidP="00710278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 caso concreto, o embargante alega contradição pelo fato de o acórdão ter mencionado uma jurisprudência que, em outro processo, reduziu os honorários advocatícios, enquanto, na presente demanda, houve sua majoração. No entanto, não há qualquer incoerência na decisão. A citação de julgados em casos similares tem caráter meramente exemplificativo e não vincula o magistrado a decidir de forma idêntica, pois cada caso deve ser analisado à luz de suas particularidades. A majoração dos honorários foi expressamente fundamentada no princípio da equidade, previsto no artigo 85, § 8º, do CPC, na justa remuneração do trabalho desenvolvido e na necessidade de evitar valores irrisórios, assegurando remuneração digna ao patrono da parte vencedora.</w:t>
      </w:r>
    </w:p>
    <w:p w:rsidR="00710278" w:rsidRPr="00710278" w:rsidRDefault="00710278" w:rsidP="00710278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Além disso, a alegação de que o valor fixado seria abusivo não se sustenta, pois a decisão observou critérios objetivos e seguiu a prática jurisprudencial dominante. O fato de que, em outro processo, os honorários tenham sido reduzidos não significa que, neste caso, tenha havido erro na fixação equitativa do valor. Ademais, o órgão julgador não está obrigado a se manifestar sobre todos os argumentos trazidos pelas partes quando já encontrou fundamento suficiente para decidir, sendo evidente que o acórdão analisou a matéria de forma clara e aprofundada, sem qualquer omissão ou contradição a ser corrigida.</w:t>
      </w:r>
    </w:p>
    <w:p w:rsidR="00BF54CB" w:rsidRPr="00BF54CB" w:rsidRDefault="00BF54CB" w:rsidP="008C783C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Aliás, já decidiu o AUTOR(A) de Justiça que: “desde que os fundamentos adotados bastem para justificar o concluído na decisão, o julgador não está obrigado a rebater, um a um, os argumentos utilizados pela parte” (RSTJ 151/229).</w:t>
      </w:r>
    </w:p>
    <w:p w:rsidR="008C783C" w:rsidRDefault="00BF54CB" w:rsidP="008C783C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Confira-se, ainda: “se a fundamentação da conclusão a que chegou independe do enfrentamento dos dispositivos legais citados pela parte, inexiste omissão sanável através de embargos de declaração” (STJ-4ª Turma, Resp. 88.365-SP, rel. Min. AUTOR(A), j. 14.5.96, DJU 17.6.96, p. 21.497).</w:t>
      </w:r>
    </w:p>
    <w:p w:rsidR="0077479D" w:rsidRPr="00BF54CB" w:rsidRDefault="0077479D" w:rsidP="0077479D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Assim, o que se vislumbra é a irresignação da parte com o resultado do julgamento, buscando dar efeitos infringentes a estes embargos de declaração, que não se prestam a tal finalidade.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Destarte, não padecendo o julgado dos vícios passíveis de serem sanados através de simples complementação, devem ser refutados por não consubstanciarem o instrumento adequado para rediscussão da causa, devendo o reexame e reforma do decidido serem perseguidos através do instrumento recursal apropriado, afastando o cabimento do presente recurso como sucedâneo do recurso apropriado para essa finalidade.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8E4010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Nestes termos, pelo meu voto, REJEITO os embargos de declaração opostos.</w:t>
      </w:r>
    </w:p>
    <w:p w:rsidR="00BF54CB" w:rsidRPr="000665B8" w:rsidRDefault="00BF54CB" w:rsidP="00BF54CB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8E4010" w:rsidRPr="000665B8" w:rsidRDefault="008E4010" w:rsidP="008E401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0C3DD1" w:rsidRDefault="008E4010" w:rsidP="003672DD">
      <w:pPr>
        <w:spacing w:after="0" w:line="360" w:lineRule="auto"/>
        <w:jc w:val="center"/>
      </w:pPr>
      <w:r>
        <w:t xml:space="preserve">        Relator</w:t>
      </w:r>
    </w:p>
    <w:sectPr w:rsidR="000C3DD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94BBD" w:rsidRDefault="00F94BBD">
      <w:pPr>
        <w:spacing w:after="0" w:line="240" w:lineRule="auto"/>
      </w:pPr>
      <w:r>
        <w:separator/>
      </w:r>
    </w:p>
  </w:endnote>
  <w:endnote w:type="continuationSeparator" w:id="0">
    <w:p w:rsidR="00F94BBD" w:rsidRDefault="00F94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94BBD" w:rsidRDefault="00F94BBD">
      <w:pPr>
        <w:spacing w:after="0" w:line="240" w:lineRule="auto"/>
      </w:pPr>
      <w:r>
        <w:separator/>
      </w:r>
    </w:p>
  </w:footnote>
  <w:footnote w:type="continuationSeparator" w:id="0">
    <w:p w:rsidR="00F94BBD" w:rsidRDefault="00F94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D31D83" w:rsidRPr="000665B8" w:rsidTr="00D31D83">
      <w:tblPrEx>
        <w:tblCellMar>
          <w:top w:w="0" w:type="dxa"/>
          <w:bottom w:w="0" w:type="dxa"/>
        </w:tblCellMar>
      </w:tblPrEx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271BEB" w:rsidRPr="00271BEB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Logotipo_Pres_Crim" style="width:90.75pt;height:59.25pt;visibility:visible">
                <v:imagedata r:id="rId1" o:title="Logotipo_Pres_Crim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D31D83" w:rsidRPr="000665B8" w:rsidRDefault="00D31D83" w:rsidP="00D31D83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D31D83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C5092A"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4010"/>
    <w:rsid w:val="0003475F"/>
    <w:rsid w:val="000504F4"/>
    <w:rsid w:val="00071C34"/>
    <w:rsid w:val="000C3DD1"/>
    <w:rsid w:val="000D66B8"/>
    <w:rsid w:val="00117FF6"/>
    <w:rsid w:val="00122B5B"/>
    <w:rsid w:val="00157BCE"/>
    <w:rsid w:val="001C5B9F"/>
    <w:rsid w:val="001F5B42"/>
    <w:rsid w:val="00207990"/>
    <w:rsid w:val="00220FE7"/>
    <w:rsid w:val="00271BEB"/>
    <w:rsid w:val="003672DD"/>
    <w:rsid w:val="00367E5C"/>
    <w:rsid w:val="00395BEA"/>
    <w:rsid w:val="00406899"/>
    <w:rsid w:val="00410CAC"/>
    <w:rsid w:val="004241F2"/>
    <w:rsid w:val="0045303B"/>
    <w:rsid w:val="00460E00"/>
    <w:rsid w:val="004A6538"/>
    <w:rsid w:val="004D03E1"/>
    <w:rsid w:val="005B0065"/>
    <w:rsid w:val="006103C1"/>
    <w:rsid w:val="006563F4"/>
    <w:rsid w:val="0065666E"/>
    <w:rsid w:val="006653A2"/>
    <w:rsid w:val="006817B7"/>
    <w:rsid w:val="006B09EC"/>
    <w:rsid w:val="006C6706"/>
    <w:rsid w:val="006D01C8"/>
    <w:rsid w:val="006D5A55"/>
    <w:rsid w:val="006E23F6"/>
    <w:rsid w:val="006E3788"/>
    <w:rsid w:val="006F19F5"/>
    <w:rsid w:val="006F6AFF"/>
    <w:rsid w:val="00710278"/>
    <w:rsid w:val="00710ECB"/>
    <w:rsid w:val="00723AB2"/>
    <w:rsid w:val="00747AC9"/>
    <w:rsid w:val="007522DC"/>
    <w:rsid w:val="0077479D"/>
    <w:rsid w:val="00792D4B"/>
    <w:rsid w:val="007B5567"/>
    <w:rsid w:val="0080433A"/>
    <w:rsid w:val="00842F7E"/>
    <w:rsid w:val="0086027A"/>
    <w:rsid w:val="008605E8"/>
    <w:rsid w:val="008C783C"/>
    <w:rsid w:val="008E0B58"/>
    <w:rsid w:val="008E4010"/>
    <w:rsid w:val="00943DC7"/>
    <w:rsid w:val="00974F74"/>
    <w:rsid w:val="00A072F6"/>
    <w:rsid w:val="00A17FCA"/>
    <w:rsid w:val="00A95A57"/>
    <w:rsid w:val="00A96BC8"/>
    <w:rsid w:val="00AF7F08"/>
    <w:rsid w:val="00B15BD0"/>
    <w:rsid w:val="00B44CDF"/>
    <w:rsid w:val="00B7480B"/>
    <w:rsid w:val="00B8576B"/>
    <w:rsid w:val="00BA7848"/>
    <w:rsid w:val="00BF54CB"/>
    <w:rsid w:val="00C5092A"/>
    <w:rsid w:val="00C817B2"/>
    <w:rsid w:val="00C91C6E"/>
    <w:rsid w:val="00D31D83"/>
    <w:rsid w:val="00D4054A"/>
    <w:rsid w:val="00D43804"/>
    <w:rsid w:val="00DA04CD"/>
    <w:rsid w:val="00DD4A8B"/>
    <w:rsid w:val="00E02D49"/>
    <w:rsid w:val="00E271B7"/>
    <w:rsid w:val="00E953C7"/>
    <w:rsid w:val="00EC00F3"/>
    <w:rsid w:val="00EF2E14"/>
    <w:rsid w:val="00EF5A0E"/>
    <w:rsid w:val="00F0785F"/>
    <w:rsid w:val="00F14E35"/>
    <w:rsid w:val="00F47B6C"/>
    <w:rsid w:val="00F80A8D"/>
    <w:rsid w:val="00F811C6"/>
    <w:rsid w:val="00F9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F69317C-E1C1-4CA7-BC51-2BE0733B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01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40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E4010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8E4010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8E4010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4010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7B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17FF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17FF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7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39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1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65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04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41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6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0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14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88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39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1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B150B-E25D-48D3-ABA9-1A0D4F610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37D66-08A6-4BEB-BCFB-1605D9C08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594F78-2D87-42F1-ACDA-28E5576A5F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917</Words>
  <Characters>4955</Characters>
  <Application>Microsoft Office Word</Application>
  <DocSecurity>4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2022-02-16T18:29:00Z</cp:lastPrinted>
  <dcterms:created xsi:type="dcterms:W3CDTF">2025-06-11T23:23:00Z</dcterms:created>
  <dcterms:modified xsi:type="dcterms:W3CDTF">2025-06-11T23:23:00Z</dcterms:modified>
</cp:coreProperties>
</file>