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34ª VARA CÍVEL DO FORO CENTRAL</w:t>
      </w:r>
    </w:p>
    <w:p w:rsidR="00D14C33" w:rsidRPr="006A6130" w:rsidRDefault="00D14C33" w:rsidP="00D14C33">
      <w:pPr>
        <w:spacing w:after="0" w:line="360" w:lineRule="auto"/>
        <w:jc w:val="both"/>
        <w:rPr>
          <w:rFonts w:ascii="Arial" w:hAnsi="Arial" w:cs="Arial"/>
          <w:b/>
          <w:bCs/>
          <w:sz w:val="24"/>
        </w:rPr>
      </w:pPr>
      <w:r>
        <w:t>APELANTE: Brandão AUTOR(A) – Agência Marítima Ltda. e outro</w:t>
      </w:r>
    </w:p>
    <w:p w:rsidR="00D14C33" w:rsidRPr="00853E15" w:rsidRDefault="00D14C33" w:rsidP="00D14C33">
      <w:pPr>
        <w:spacing w:after="0" w:line="360" w:lineRule="auto"/>
        <w:jc w:val="both"/>
        <w:rPr>
          <w:rFonts w:ascii="Arial" w:hAnsi="Arial" w:cs="Arial"/>
          <w:b/>
          <w:bCs/>
          <w:sz w:val="24"/>
        </w:rPr>
      </w:pPr>
      <w:r>
        <w:t>APELADA: AUTOR(A) S/A</w:t>
      </w:r>
    </w:p>
    <w:p w:rsidR="00D14C33" w:rsidRPr="00853E15" w:rsidRDefault="00D14C33" w:rsidP="00D14C33">
      <w:pPr>
        <w:spacing w:after="0" w:line="360" w:lineRule="auto"/>
        <w:jc w:val="both"/>
        <w:rPr>
          <w:rFonts w:ascii="Arial" w:hAnsi="Arial" w:cs="Arial"/>
          <w:sz w:val="24"/>
        </w:rPr>
      </w:pPr>
      <w:r>
        <w:t>JUIZ PROLATOR: Alexandre das Neves</w:t>
      </w:r>
    </w:p>
    <w:p w:rsidR="00D14C33" w:rsidRDefault="00D14C33" w:rsidP="00D14C33">
      <w:pPr>
        <w:spacing w:after="0" w:line="360" w:lineRule="auto"/>
        <w:jc w:val="both"/>
        <w:rPr>
          <w:rFonts w:ascii="Arial" w:hAnsi="Arial" w:cs="Arial"/>
          <w:b/>
          <w:sz w:val="24"/>
        </w:rPr>
      </w:pPr>
      <w:r>
        <w:t>VOTO Nº 10.953</w:t>
      </w:r>
    </w:p>
    <w:p w:rsidR="00D14C33" w:rsidRPr="00324889" w:rsidRDefault="00D14C33" w:rsidP="00D14C33">
      <w:pPr>
        <w:spacing w:after="0" w:line="360" w:lineRule="auto"/>
        <w:jc w:val="both"/>
        <w:rPr>
          <w:rFonts w:ascii="Arial" w:hAnsi="Arial" w:cs="Arial"/>
          <w:sz w:val="24"/>
        </w:rPr>
      </w:pPr>
      <w:r/>
    </w:p>
    <w:p w:rsidR="00D14C33" w:rsidRDefault="00376D6A" w:rsidP="00376D6A">
      <w:pPr>
        <w:pStyle w:val="Recuodecorpodetexto"/>
        <w:rPr>
          <w:rFonts w:ascii="Arial" w:hAnsi="Arial" w:cs="Arial"/>
          <w:sz w:val="22"/>
          <w:szCs w:val="22"/>
        </w:rPr>
      </w:pPr>
      <w:r>
        <w:t>RESPONSABILIDADE CIVIL – RESCISÃO CONTRATUAL – INDENIZAÇÃO POR DANOS MATERIAIS – AQUISIÇÃO DE EQUIPAMENTO PARA ATENDIMENTO A NORMAS AMBIENTAIS – RISCO INERENTE À ATIVIDADE EMPRESARIAL – INEXISTÊNCIA DE OBRIGAÇÃO DE RESSARCIMENTO – BOA-FÉ OBJETIVA NÃO VIOLADA – MANUTENÇÃO DA SENTENÇA. Ação indenizatória ajuizada por empresas operadoras portuárias contra contratante que, após o término do contrato, não renovou a relação comercial. Pretensão de ressarcimento pelo investimento na aquisição de moega ecológica, alegadamente realizada em razão de exigências da requerida. Equipamento adquirido para atendimento a normas ambientais impostas pelo Porto de Suape. Risco inerente à atividade empresarial da parte autora. Inexistência de prova de que a requerida tenha assumido obrigação de custear ou ressarcir o investimento. Boa-fé objetiva não violada, pois a ré apenas acompanhou a implementação da moega, sem garantia de continuidade contratual. Bem que permanece no patrimônio da autora, afastando enriquecimento sem causa da ré. Sentença mantida. Recurso não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6C2402" w:rsidRDefault="006C2402" w:rsidP="00D14C33">
      <w:pPr>
        <w:spacing w:line="360" w:lineRule="auto"/>
        <w:ind w:firstLine="1418"/>
        <w:jc w:val="both"/>
        <w:rPr>
          <w:rFonts w:ascii="Arial" w:hAnsi="Arial" w:cs="Arial"/>
          <w:sz w:val="24"/>
          <w:szCs w:val="24"/>
        </w:rPr>
      </w:pPr>
      <w:r>
        <w:t>Trata-se de ação de indenização por danos materiais fundada em rescisão contratual ajuizada por Brandão AUTOR(A) – Agência Marítima Ltda. e Transglobal Operações Portuárias Ltda. em face de AUTOR(A) S/A, julgada improcedente pela r. sentença de fls. 647/650, cujo relatório se adota, para afastar a responsabilização da ré pelos custos da aquisição da moega ecológica, sob o fundamento de que a exigência do equipamento decorreu de normas ambientais impostas pelo Porto de Suape e que o risco do empreendimento foi assumido exclusivamente pelas autoras.</w:t>
      </w:r>
    </w:p>
    <w:p w:rsidR="00765092" w:rsidRDefault="00765092" w:rsidP="00D14C33">
      <w:pPr>
        <w:autoSpaceDE w:val="0"/>
        <w:autoSpaceDN w:val="0"/>
        <w:adjustRightInd w:val="0"/>
        <w:spacing w:line="360" w:lineRule="auto"/>
        <w:ind w:firstLine="1418"/>
        <w:jc w:val="both"/>
        <w:rPr>
          <w:rFonts w:ascii="Arial" w:hAnsi="Arial" w:cs="Arial"/>
          <w:sz w:val="24"/>
        </w:rPr>
      </w:pPr>
      <w:r>
        <w:t>Inconformada, recorre a parte autora (fls. 669/695), buscando a reforma do julgado. Aduz, em síntese, que a recorrida incentivou e cobrou ativamente a aquisição da moega ecológica, vinculando-a à continuidade das operações, e que a interrupção abrupta do contrato frustrou sua legítima expectativa de retorno sobre o investimento realizado. Sustenta que a moega foi adquirida exclusivamente para atender às necessidades da recorrida, sendo um equipamento específico e sem possibilidade de aproveitamento em outras operações. Alega, ainda, que a recorrida agiu de forma contraditória, violando a boa-fé objetiva, pois acompanhou todo o processo de aquisição do equipamento e, pouco antes da sua chegada ao Brasil, encerrou as atividades no Porto de Suape sem qualquer aviso prévio. Por fim, argumenta que a sentença foi equivocada ao atribuir o risco do empreendimento exclusivamente à recorrente, pois a exigência da moega decorria de obrigações ambientais da própria recorrida.</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696/697) e regularmente processado, com contrarrazões (fls. 701/719). Recebido, neste momento, em seus efeitos legais, nos termos do artigo 1.012 do Código de AUTOR(A).</w:t>
      </w:r>
    </w:p>
    <w:p w:rsidR="00D14C33" w:rsidRPr="00980A50" w:rsidRDefault="006C2402" w:rsidP="00D14C33">
      <w:pPr>
        <w:autoSpaceDE w:val="0"/>
        <w:autoSpaceDN w:val="0"/>
        <w:adjustRightInd w:val="0"/>
        <w:spacing w:line="360" w:lineRule="auto"/>
        <w:ind w:firstLine="1418"/>
        <w:jc w:val="both"/>
        <w:rPr>
          <w:rFonts w:ascii="Arial" w:hAnsi="Arial" w:cs="Arial"/>
          <w:sz w:val="24"/>
          <w:szCs w:val="24"/>
          <w:lang w:eastAsia="pt-BR"/>
        </w:rPr>
      </w:pPr>
      <w:r>
        <w:t>Ambas as partes manifestaram oposição ao julgamento virtual (fls. 726/728).</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recursais, pelo meu voto, nego provimento ao recurso.</w:t>
      </w:r>
    </w:p>
    <w:p w:rsidR="00765092" w:rsidRPr="00765092" w:rsidRDefault="00765092" w:rsidP="002B3FDE">
      <w:pPr>
        <w:tabs>
          <w:tab w:val="center" w:pos="4961"/>
        </w:tabs>
        <w:spacing w:line="360" w:lineRule="auto"/>
        <w:ind w:firstLine="1418"/>
        <w:jc w:val="both"/>
        <w:rPr>
          <w:rFonts w:ascii="Arial" w:hAnsi="Arial" w:cs="Arial"/>
          <w:sz w:val="24"/>
        </w:rPr>
      </w:pPr>
      <w:r>
        <w:t>Narra a parte autora em sua inicial que realizava operações portuárias para a ré no Porto de Suape/PE e, no contexto dessa relação contratual, foi incentivada pela recorrida a adquirir uma moega ecológica de alto valor para atender às necessidades específicas da operação. Sustenta que a compra do equipamento foi estimulada e acompanhada pela ré, que posteriormente rompeu abruptamente o contrato, frustrando a legítima expectativa da autora de retorno sobre o investimento realizado. Alega, ainda, que a moega foi fabricada sob medida para a operação da ré, sendo inutilizável em outros contratos e gerando elevados custos de armazenamento. Requer, assim, a condenação da ré ao pagamento de indenização no valor de R$ 4.689.177,09.</w:t>
      </w:r>
    </w:p>
    <w:p w:rsidR="00765092" w:rsidRPr="00765092" w:rsidRDefault="00765092" w:rsidP="00765092">
      <w:pPr>
        <w:tabs>
          <w:tab w:val="center" w:pos="4961"/>
        </w:tabs>
        <w:spacing w:line="360" w:lineRule="auto"/>
        <w:ind w:firstLine="1418"/>
        <w:jc w:val="both"/>
        <w:rPr>
          <w:rFonts w:ascii="Arial" w:hAnsi="Arial" w:cs="Arial"/>
          <w:sz w:val="24"/>
        </w:rPr>
      </w:pPr>
      <w:r>
        <w:t>Em sede de contestação, a ré argumenta que a exigência da moega ecológica decorreu de normas ambientais e regulatórias impostas pelo Porto de Suape, e não de uma imposição unilateral sua. Sustenta que a aquisição do equipamento constitui risco do empreendimento assumido pela própria autora e que a não renovação do contrato, após o prazo pactuado, não configura ato ilícito nem gera obrigação de indenizar. Afirma, ainda, que não há comprovação de que a moega era de uso exclusivo da operação da ré, podendo ser aproveitada em outras atividades.</w:t>
      </w:r>
    </w:p>
    <w:p w:rsidR="00765092" w:rsidRDefault="00765092" w:rsidP="00765092">
      <w:pPr>
        <w:tabs>
          <w:tab w:val="center" w:pos="4961"/>
        </w:tabs>
        <w:spacing w:line="360" w:lineRule="auto"/>
        <w:ind w:firstLine="1418"/>
        <w:jc w:val="both"/>
        <w:rPr>
          <w:rFonts w:ascii="Arial" w:hAnsi="Arial" w:cs="Arial"/>
          <w:sz w:val="24"/>
        </w:rPr>
      </w:pPr>
      <w:r>
        <w:t>Adveio, então, a r. sentença ora guerreada, que julgou improcedente a ação, entendendo que a compra da moega decorreu de exigências ambientais a serem cumpridas pela própria autora, sendo risco do seu negócio. O juízo também afastou a tese de que a ré teria criado legítima expectativa de continuidade contratual e destacou que a não renovação do contrato, por si só, não gera direito à indenização. Além disso, considerou não comprovado que o equipamento fosse de uso exclusivo da recorrida, podendo integrar o patrimônio da autora e ser aproveitado em outras operações.</w:t>
      </w:r>
    </w:p>
    <w:p w:rsidR="00A628E8" w:rsidRDefault="00A628E8" w:rsidP="00765092">
      <w:pPr>
        <w:tabs>
          <w:tab w:val="center" w:pos="4961"/>
        </w:tabs>
        <w:spacing w:line="360" w:lineRule="auto"/>
        <w:ind w:firstLine="1418"/>
        <w:jc w:val="both"/>
        <w:rPr>
          <w:rFonts w:ascii="Arial" w:hAnsi="Arial" w:cs="Arial"/>
          <w:sz w:val="24"/>
        </w:rPr>
      </w:pPr>
      <w:r>
        <w:t>Pois bem.</w:t>
      </w:r>
    </w:p>
    <w:p w:rsidR="005375DF" w:rsidRDefault="005375DF" w:rsidP="00765092">
      <w:pPr>
        <w:tabs>
          <w:tab w:val="center" w:pos="4961"/>
        </w:tabs>
        <w:spacing w:line="360" w:lineRule="auto"/>
        <w:ind w:firstLine="1418"/>
        <w:jc w:val="both"/>
        <w:rPr>
          <w:rFonts w:ascii="Arial" w:hAnsi="Arial" w:cs="Arial"/>
          <w:sz w:val="24"/>
        </w:rPr>
      </w:pPr>
      <w:r>
        <w:t>A controvérsia cinge-se à obrigação da apelada de indenizar a apelante pelos valores investidos na aquisição de uma moega ecológica. Discute-se se a compra foi incentivada e indispensável à continuidade contratual ou se o investimento configura risco inerente à atividade empresarial, afastando o dever de ressarcimento.</w:t>
      </w:r>
    </w:p>
    <w:p w:rsidR="005375DF" w:rsidRPr="005375DF" w:rsidRDefault="005375DF" w:rsidP="005375DF">
      <w:pPr>
        <w:tabs>
          <w:tab w:val="center" w:pos="4961"/>
        </w:tabs>
        <w:spacing w:line="360" w:lineRule="auto"/>
        <w:ind w:firstLine="1418"/>
        <w:jc w:val="both"/>
        <w:rPr>
          <w:rFonts w:ascii="Arial" w:hAnsi="Arial" w:cs="Arial"/>
          <w:sz w:val="24"/>
        </w:rPr>
      </w:pPr>
      <w:r>
        <w:t>Analisando o feito, entendo que o ocorrido é decorrente de risco inerente à atividade industrial, de modo que não há como atribuir à apelada a responsabilidade pelo investimento realizado na aquisição da moega ecológica. Trata-se de um equipamento semelhante a um funil gigante, utilizado para descarregar materiais a granel sem dispersar poeira, reduzindo impactos ambientais. A exigência de sua utilização decorreu de normas ambientais impostas pelo Porto de Suape, sendo a apelante a responsável por adequar sua operação às regulamentações aplicáveis. Não há nos autos prova de que a apelada tenha assumido qualquer obrigação de custear ou reembolsar tal aquisição, tampouco de que tenha garantido a renovação do contrato, o que reforça a ausência de dever indenizatório.</w:t>
      </w:r>
    </w:p>
    <w:p w:rsidR="005375DF" w:rsidRPr="005375DF" w:rsidRDefault="005375DF" w:rsidP="005375DF">
      <w:pPr>
        <w:tabs>
          <w:tab w:val="center" w:pos="4961"/>
        </w:tabs>
        <w:spacing w:line="360" w:lineRule="auto"/>
        <w:ind w:firstLine="1418"/>
        <w:jc w:val="both"/>
        <w:rPr>
          <w:rFonts w:ascii="Arial" w:hAnsi="Arial" w:cs="Arial"/>
          <w:sz w:val="24"/>
        </w:rPr>
      </w:pPr>
      <w:r>
        <w:t>Além disso, não há elementos que evidenciem violação à boa-fé objetiva ou comportamento contraditório da apelada. O contrato firmado entre as partes possuía prazo determinado, e a decisão de não proceder com a renovação deste insere-se no âmbito da livre iniciativa empresarial, não configurando rompimento abrupto ou ilícito. O simples fato de a apelada ter acompanhado a implementação da moega não gera, por si só, expectativa legítima de continuidade do contrato, especialmente quando inexistia obrigação contratual nesse sentido.</w:t>
      </w:r>
    </w:p>
    <w:p w:rsidR="005375DF" w:rsidRDefault="005375DF" w:rsidP="005375DF">
      <w:pPr>
        <w:tabs>
          <w:tab w:val="center" w:pos="4961"/>
        </w:tabs>
        <w:spacing w:line="360" w:lineRule="auto"/>
        <w:ind w:firstLine="1418"/>
        <w:jc w:val="both"/>
        <w:rPr>
          <w:rFonts w:ascii="Arial" w:hAnsi="Arial" w:cs="Arial"/>
          <w:sz w:val="24"/>
        </w:rPr>
      </w:pPr>
      <w:r>
        <w:t xml:space="preserve">Reporto-me, ainda, ao muito bem observado em sede de 1º grau: "Por fim, é necessário destacar que não há prova nos autos de que a moega ecológica adquirida pelas autoras tem como destinatária exclusiva a ré, sendo certo que ela pode ser aproveitada em outra operação e continuar a integrar o patrimônio das autoras, que podem dela dispor do modo que melhor lhes aprouver." </w:t>
      </w:r>
    </w:p>
    <w:p w:rsidR="005375DF" w:rsidRDefault="005375DF" w:rsidP="005375DF">
      <w:pPr>
        <w:tabs>
          <w:tab w:val="center" w:pos="4961"/>
        </w:tabs>
        <w:spacing w:line="360" w:lineRule="auto"/>
        <w:ind w:firstLine="1418"/>
        <w:jc w:val="both"/>
        <w:rPr>
          <w:rFonts w:ascii="Arial" w:hAnsi="Arial" w:cs="Arial"/>
          <w:sz w:val="24"/>
        </w:rPr>
      </w:pPr>
      <w:r>
        <w:t>Dessa forma, verifica-se que a apelante não demonstrou de forma inequívoca que o equipamento adquirido não poderia ser empregado em outras atividades. Ainda que tenha sido adquirido para atender às exigências ambientais no Porto de Suape, trata-se de um ativo que permanece em seu patrimônio e, portanto, responsabilizar a requerida por isso importaria em enriquecimento ilícito, o que o ordenamento jurídico não admite.</w:t>
      </w:r>
    </w:p>
    <w:p w:rsidR="005375DF" w:rsidRPr="006336F9" w:rsidRDefault="005375DF" w:rsidP="005375DF">
      <w:pPr>
        <w:tabs>
          <w:tab w:val="center" w:pos="4961"/>
        </w:tabs>
        <w:spacing w:line="360" w:lineRule="auto"/>
        <w:ind w:firstLine="1418"/>
        <w:jc w:val="both"/>
        <w:rPr>
          <w:rFonts w:ascii="Arial" w:hAnsi="Arial" w:cs="Arial"/>
          <w:sz w:val="24"/>
          <w:szCs w:val="24"/>
        </w:rPr>
      </w:pPr>
      <w:r>
        <w:t>Desta feita, entendo ser inviável afastar os termos da sentença, a qual fica mantida por seus próprios fundamentos, ora adotados como razão de decidir, nos termos do art. 252 do RITJ.</w:t>
      </w:r>
    </w:p>
    <w:p w:rsidR="005375DF" w:rsidRPr="00670FAD" w:rsidRDefault="005375DF" w:rsidP="005375DF">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5375DF" w:rsidRPr="00670FAD" w:rsidRDefault="005375DF" w:rsidP="005375DF">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5375DF" w:rsidRPr="00670FAD" w:rsidRDefault="005375DF" w:rsidP="005375DF">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A628E8" w:rsidRDefault="005375DF" w:rsidP="00D14C33">
      <w:pPr>
        <w:tabs>
          <w:tab w:val="center" w:pos="4961"/>
        </w:tabs>
        <w:spacing w:line="360" w:lineRule="auto"/>
        <w:ind w:firstLine="1418"/>
        <w:jc w:val="both"/>
        <w:rPr>
          <w:rFonts w:ascii="Arial" w:hAnsi="Arial" w:cs="Arial"/>
          <w:sz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D14C33" w:rsidRPr="005738D4" w:rsidRDefault="00D14C33" w:rsidP="005375DF">
      <w:pPr>
        <w:tabs>
          <w:tab w:val="center" w:pos="4961"/>
        </w:tabs>
        <w:spacing w:line="360" w:lineRule="auto"/>
        <w:ind w:firstLine="1418"/>
        <w:jc w:val="both"/>
        <w:rPr>
          <w:rFonts w:ascii="Arial" w:hAnsi="Arial" w:cs="Arial"/>
          <w:sz w:val="24"/>
        </w:rPr>
      </w:pPr>
      <w:r>
        <w:t xml:space="preserve"> Diante do resultado do recurso, de rigor a majoração dos honorários advocatícios em sede recursal, que fixo em 12% do valor da causa, nos termos do disposto no artigo 85, § 11, do Código de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5375DF">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0B1B" w:rsidRDefault="004B0B1B">
      <w:pPr>
        <w:spacing w:after="0" w:line="240" w:lineRule="auto"/>
      </w:pPr>
      <w:r>
        <w:separator/>
      </w:r>
    </w:p>
  </w:endnote>
  <w:endnote w:type="continuationSeparator" w:id="0">
    <w:p w:rsidR="004B0B1B" w:rsidRDefault="004B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4B0B1B">
      <w:t xml:space="preserve">s - </w:t>
    </w:r>
    <w:r w:rsidR="004B0B1B">
      <w:fldChar w:fldCharType="begin"/>
    </w:r>
    <w:r w:rsidR="004B0B1B">
      <w:instrText>PAGE   \* MERGEFORMAT</w:instrText>
    </w:r>
    <w:r w:rsidR="004B0B1B">
      <w:fldChar w:fldCharType="separate"/>
    </w:r>
    <w:r w:rsidR="004B0B1B">
      <w:t>2</w:t>
    </w:r>
    <w:r w:rsidR="004B0B1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0B1B" w:rsidRDefault="004B0B1B">
      <w:pPr>
        <w:spacing w:after="0" w:line="240" w:lineRule="auto"/>
      </w:pPr>
      <w:r>
        <w:separator/>
      </w:r>
    </w:p>
  </w:footnote>
  <w:footnote w:type="continuationSeparator" w:id="0">
    <w:p w:rsidR="004B0B1B" w:rsidRDefault="004B0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4B0B1B">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4B0B1B">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4B0B1B">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4B0B1B">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2B3FDE"/>
    <w:rsid w:val="003633DF"/>
    <w:rsid w:val="00376D6A"/>
    <w:rsid w:val="00401DF3"/>
    <w:rsid w:val="00432B56"/>
    <w:rsid w:val="004B0B1B"/>
    <w:rsid w:val="005375DF"/>
    <w:rsid w:val="00540190"/>
    <w:rsid w:val="006C2402"/>
    <w:rsid w:val="00765092"/>
    <w:rsid w:val="00774E51"/>
    <w:rsid w:val="007B4EF3"/>
    <w:rsid w:val="00906A58"/>
    <w:rsid w:val="009625F2"/>
    <w:rsid w:val="00993E7A"/>
    <w:rsid w:val="009B41D1"/>
    <w:rsid w:val="00A16FC6"/>
    <w:rsid w:val="00A628E8"/>
    <w:rsid w:val="00B2724A"/>
    <w:rsid w:val="00B32B8E"/>
    <w:rsid w:val="00B4559E"/>
    <w:rsid w:val="00BD2967"/>
    <w:rsid w:val="00D14C33"/>
    <w:rsid w:val="00D17EED"/>
    <w:rsid w:val="00D778B4"/>
    <w:rsid w:val="00E93BFB"/>
    <w:rsid w:val="00EA08CF"/>
    <w:rsid w:val="00EC296C"/>
    <w:rsid w:val="00FA01EE"/>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BAB156E7-432D-4E73-980B-8547CF5D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8661">
      <w:bodyDiv w:val="1"/>
      <w:marLeft w:val="0"/>
      <w:marRight w:val="0"/>
      <w:marTop w:val="0"/>
      <w:marBottom w:val="0"/>
      <w:divBdr>
        <w:top w:val="none" w:sz="0" w:space="0" w:color="auto"/>
        <w:left w:val="none" w:sz="0" w:space="0" w:color="auto"/>
        <w:bottom w:val="none" w:sz="0" w:space="0" w:color="auto"/>
        <w:right w:val="none" w:sz="0" w:space="0" w:color="auto"/>
      </w:divBdr>
    </w:div>
    <w:div w:id="493759563">
      <w:bodyDiv w:val="1"/>
      <w:marLeft w:val="0"/>
      <w:marRight w:val="0"/>
      <w:marTop w:val="0"/>
      <w:marBottom w:val="0"/>
      <w:divBdr>
        <w:top w:val="none" w:sz="0" w:space="0" w:color="auto"/>
        <w:left w:val="none" w:sz="0" w:space="0" w:color="auto"/>
        <w:bottom w:val="none" w:sz="0" w:space="0" w:color="auto"/>
        <w:right w:val="none" w:sz="0" w:space="0" w:color="auto"/>
      </w:divBdr>
    </w:div>
    <w:div w:id="1323238523">
      <w:bodyDiv w:val="1"/>
      <w:marLeft w:val="0"/>
      <w:marRight w:val="0"/>
      <w:marTop w:val="0"/>
      <w:marBottom w:val="0"/>
      <w:divBdr>
        <w:top w:val="none" w:sz="0" w:space="0" w:color="auto"/>
        <w:left w:val="none" w:sz="0" w:space="0" w:color="auto"/>
        <w:bottom w:val="none" w:sz="0" w:space="0" w:color="auto"/>
        <w:right w:val="none" w:sz="0" w:space="0" w:color="auto"/>
      </w:divBdr>
    </w:div>
    <w:div w:id="1445613380">
      <w:bodyDiv w:val="1"/>
      <w:marLeft w:val="0"/>
      <w:marRight w:val="0"/>
      <w:marTop w:val="0"/>
      <w:marBottom w:val="0"/>
      <w:divBdr>
        <w:top w:val="none" w:sz="0" w:space="0" w:color="auto"/>
        <w:left w:val="none" w:sz="0" w:space="0" w:color="auto"/>
        <w:bottom w:val="none" w:sz="0" w:space="0" w:color="auto"/>
        <w:right w:val="none" w:sz="0" w:space="0" w:color="auto"/>
      </w:divBdr>
    </w:div>
    <w:div w:id="1664504551">
      <w:bodyDiv w:val="1"/>
      <w:marLeft w:val="0"/>
      <w:marRight w:val="0"/>
      <w:marTop w:val="0"/>
      <w:marBottom w:val="0"/>
      <w:divBdr>
        <w:top w:val="none" w:sz="0" w:space="0" w:color="auto"/>
        <w:left w:val="none" w:sz="0" w:space="0" w:color="auto"/>
        <w:bottom w:val="none" w:sz="0" w:space="0" w:color="auto"/>
        <w:right w:val="none" w:sz="0" w:space="0" w:color="auto"/>
      </w:divBdr>
    </w:div>
    <w:div w:id="180585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1601</Words>
  <Characters>8648</Characters>
  <Application>Microsoft Office Word</Application>
  <DocSecurity>4</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