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COMARCA DE SÃO PAULO – 43*ª VARA CÍVEL DO FORO CENTRAL</w:t>
      </w:r>
    </w:p>
    <w:p w:rsidR="00D14C33" w:rsidRPr="006A6130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APELANTES: AUTOR(A) ME / CENTURYLINK COMUNICAÇÕES DO BRASIL LTDA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APELADOS: AUTOR(A) ME / CENTURYLINK COMUNICAÇÕES DO BRASIL LTDA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JUIZ PROLATOR:  Paulo Rogério AUTOR(A)</w:t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11.203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Default="00624984" w:rsidP="00624984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PRESTAÇÃO DE SERVIÇOS – FORNECIMENTO DE SINAL PARA INTERNET/TV - AÇÃO DE RESOLUÇÃO CONTRATUAL C/C DECLARAÇÃO DE INEXISTÊNCIA DE DÉBITO E REPARAÇÃO DE DANOS – ALEGAÇÃO DE INADIMPLEMENTO CONTRATUAL – ÔNUS PROBATÓRIO NÃO CUMPRIDO – MULTA RESCISÓRIA DEVIDA – HONORÁRIOS ADVOCATÍCIOS NA RECONVENÇÃO – FIXAÇÃO INDEPENDENTE – SENTENÇA PARCIALMENTE REFORMADA. Insurgência da parte autora contra a condenação ao pagamento de multa rescisória e improcedência da pretensão indenizatória. Alegação de falha na prestação dos serviços e concorrência desleal – Ônus probatório não cumprido (art. 373, I, do CPC). Elementos colacionados aos autos insuficientes para demonstrar inadimplemento grave apto a justificar a resolução contratual sem a incidência da multa pactuada. Indenização por danos materiais e morais indevida. Ausência de prova de prejuízo econômico concreto ou dano extrapatrimonial. Recurso da parte ré quanto à fixação dos honorários advocatícios. Necessidade de fixação independente para a ação principal e a reconvenção, nos termos do artigo 85, §1º, do CPC. Sucumbência da autora configurada em ambas as demandas. Reforma parcial da sentença para fixação dos honorários advocatícios cumulativos, sendo 10% sobre o valor atualizado da causa na ação principal e 10% sobre o valor da condenação na reconvenção. Sentença parcialmente reformada para adequação dos honorários. Recurso da parte autora improvido. Recurso da parte ré provido.</w:t>
      </w:r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041A7B" w:rsidRPr="00041A7B" w:rsidRDefault="00041A7B" w:rsidP="00041A7B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ação de resolução de contrato por inadimplemento c/c declaratória de inexistência de débito e reparação de danos, fundada em alegado descumprimento contratual e concorrência desleal, ajuizada por AUTOR(A). – ME em face de Centurylink Comunicações do AUTOR(A). (atualmente AUTOR(A) do AUTOR(A).), julgada improcedente quanto ao pedido principal e procedente quanto à reconvenção, pela r. sentença de fls. 649/657, cujo relatório se adota, para condenar a parte autora ao pagamento da multa contratual no valor de R$ 258.765,00, corrigido monetariamente, além do pagamento das custas e honorários advocatícios fixados em 10% sobre o valor da condenação.</w:t>
      </w:r>
    </w:p>
    <w:p w:rsidR="00041A7B" w:rsidRPr="00041A7B" w:rsidRDefault="00041A7B" w:rsidP="00041A7B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Inconformadas, recorrem a parte autora e o representante legal da parte ré (fls. 700/712 e 715/732), buscando a reforma do julgado.</w:t>
      </w:r>
    </w:p>
    <w:p w:rsidR="00041A7B" w:rsidRPr="00041A7B" w:rsidRDefault="00041A7B" w:rsidP="00041A7B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 parte autora aduz, em síntese, que houve falha na prestação dos serviços contratados, o que motivou a rescisão do contrato por justa causa, sendo indevida a aplicação da multa rescisória e cabível a condenação da requerida ao pagamento de indenização por danos materiais e morais, além da repetição do indébito pelos valores pagos indevidamente. Alega, ainda, que a decisão de primeiro grau foi contraditória ao afirmar que não houve provas do inadimplemento e, ao mesmo tempo, mencionar as reclamações de clientes e os documentos apresentados. Pugna pela reforma da sentença para julgar procedente a ação principal, afastando a multa contratual, reconhecendo a rescisão por inadimplemento da ré e condenando-a ao pagamento de indenização por danos materiais e morais, além da repetição de valores pagos indevidamente.</w:t>
      </w:r>
    </w:p>
    <w:p w:rsidR="00041A7B" w:rsidRPr="00041A7B" w:rsidRDefault="00041A7B" w:rsidP="00041A7B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patrono da parte ré sustenta que a sentença, ao julgar procedente a reconvenção, deveria ter fixado honorários advocatícios sobre a ação principal e a reconvenção de forma independente, conforme previsto no artigo 85, §1º, do Código de AUTOR(A). Argumenta que a parte autora foi sucumbente tanto na ação principal quanto na reconvenção, sendo necessário majorar os honorários advocatícios sobre o valor da causa principal, e não apenas sobre o valor da condenação na reconvenção. Pugna pela reforma da sentença para fixar honorários advocatícios também sobre a ação principal, garantindo sua devida remuneração nos termos do CPC e da jurisprudência consolidada.</w:t>
      </w:r>
    </w:p>
    <w:p w:rsidR="00D14C33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Recurso tempestivo, preparado (fls. 713/714, 763/765, 812/813, 816/817) e regularmente processado, com contrarrazões (fls. 769/775 e 779/800). Recebido, neste momento, em seus efeitos legais, nos termos do artigo 1.012 do Código de AUTOR(A).</w:t>
      </w:r>
    </w:p>
    <w:p w:rsidR="00D14C33" w:rsidRPr="00980A50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Não houve oposição ao julgamento virtual.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2B461E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Sempre respeitados os argumentos expostos na r. sentença e nas razões de apelação das partes, pelo meu voto, nego provimento ao recurso da autora e dou provimento ao recurso da ré.</w:t>
      </w:r>
    </w:p>
    <w:p w:rsidR="00C37FA2" w:rsidRPr="00C37FA2" w:rsidRDefault="00C37FA2" w:rsidP="00C37FA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a parte autora em sua inicial que firmou contrato de prestação de serviços com a requerida para fornecimento de link de acesso à internet, transporte de dados e trânsito à rede mundial, porém a requerida não teria cumprido adequadamente as obrigações contratuais, prestando um serviço de má qualidade, com falhas constantes, oscilações e quedas frequentes de sinal. Alega, ainda, que a requerida praticou concorrência desleal ao captar clientes da autora, oferecendo-lhes preços mais baixos, o que teria causado prejuízos financeiros e perda de clientes. Diante disso, pleiteia a resolução do contrato por inadimplemento da ré, a inexigibilidade da multa rescisória, a reparação por danos materiais e morais, além da repetição de valores pagos indevidamente.</w:t>
      </w:r>
    </w:p>
    <w:p w:rsidR="00C37FA2" w:rsidRPr="00C37FA2" w:rsidRDefault="00C37FA2" w:rsidP="00C37FA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contestação com reconvenção, a requerida sustenta que prestou os serviços de acordo com os parâmetros contratuais, argumentando que a qualidade do acesso à internet pode sofrer oscilações devido a fatores técnicos e naturais, conforme previsto no contrato. Nega a prática de concorrência desleal e impugna as alegações de falha na prestação dos serviços. Em reconvenção, requer a condenação da autora ao pagamento da multa rescisória de 30% sobre as parcelas vincendas, no montante de R$ 258.765,00, devido à resilição antecipada do contrato.</w:t>
      </w:r>
    </w:p>
    <w:p w:rsidR="00C37FA2" w:rsidRPr="00C37FA2" w:rsidRDefault="00C37FA2" w:rsidP="00C37FA2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Adveio, então, a r. sentença ora guerreada, que julgou improcedente a ação principal e procedente a reconvenção, condenando a autora ao pagamento da multa contratual, além de custas processuais e honorários advocatícios fixados em 10% sobre o valor da condenação.</w:t>
      </w:r>
    </w:p>
    <w:p w:rsidR="00A628E8" w:rsidRDefault="00A628E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9D2486" w:rsidRPr="009D2486" w:rsidRDefault="009D2486" w:rsidP="009D248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que pesem os argumentos expostos nas razões recursais da autora, no meu sentir, não há como acolher os pedidos formulados. Isso porque a parte recorrente não se desincumbiu do ônus probatório que lhe competia, nos termos do artigo 373, inciso I, do Código de AUTOR(A), não demonstrando, de forma inequívoca, o alegado inadimplemento contratual da requerida.</w:t>
      </w:r>
    </w:p>
    <w:p w:rsidR="009D2486" w:rsidRPr="009D2486" w:rsidRDefault="009D2486" w:rsidP="009D248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insurgência recursal sustenta que a prestação dos serviços de telecomunicação foi inadequada, com reiteradas falhas e oscilações no fornecimento, o que teria inviabilizado a continuidade da relação contratual. No entanto, os elementos probatórios carreados aos autos não são suficientes para caracterizar a alegada má prestação dos serviços como um inadimplemento grave e reiterado a ponto de justificar a resolução contratual sem a incidência da multa rescisória.</w:t>
      </w:r>
    </w:p>
    <w:p w:rsidR="009D2486" w:rsidRPr="009D2486" w:rsidRDefault="009D2486" w:rsidP="009D248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Os documentos apresentados pela autora (fls. 63 a 190) incluem prints de conversas via WhatsApp, e-mails de clientes e pedidos de cancelamento de serviços. No entanto, verifica-se que tais elementos se referem a eventos isolados e pontuais, sem indicar a ocorrência de falhas de serviço de maneira contínua e sistemática. A título de exemplo, a principal conversa juntada aos autos data de 22 de março de 2019 e se restringe a um relato específico de falha ocorrido por dois dias consecutivos.</w:t>
      </w:r>
    </w:p>
    <w:p w:rsidR="009D2486" w:rsidRPr="009D2486" w:rsidRDefault="009D2486" w:rsidP="009D248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Além disso, os e-mails e mensagens de clientes (fls. 85 a 106) mencionam reclamações esporádicas ao longo de um período dilatado, sem evidenciar que tais problemas comprometeram de forma substancial a execução do contrato. Ademais, os documentos relativos a cancelamentos de serviços por parte de clientes da autora (fls. 109 a 190) não esclarecem, de maneira expressa, que tais rescisões decorreram exclusivamente da má qualidade do serviço prestado pela requerida.</w:t>
      </w:r>
    </w:p>
    <w:p w:rsidR="009D2486" w:rsidRPr="009D2486" w:rsidRDefault="009D2486" w:rsidP="009D248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9D2486" w:rsidRPr="009D2486" w:rsidRDefault="009D2486" w:rsidP="009D248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Outro ponto relevante é que a prestação do serviço estava contratualmente sujeita a interrupções ocasionais e limites de responsabilidade, conforme previsão da cláusula 14.2 do contrato firmado entre as partes (fls. 490). O acordo estabelecia que a requerida não garantia a prestação ininterrupta e isenta de falhas, além de prever a possibilidade de ressarcimento ao contratante por períodos de indisponibilidade superiores aos parâmetros estabelecidos. Entretanto, não há nos autos qualquer prova de que a autora tenha solicitado e não recebido tais compensações.</w:t>
      </w:r>
    </w:p>
    <w:p w:rsidR="009D2486" w:rsidRPr="009D2486" w:rsidRDefault="009D2486" w:rsidP="009D248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Assim, diante da ausência de provas robustas que demonstrem o descumprimento grave do contrato por parte da requerida, não há fundamento jurídico para afastar a aplicação da multa rescisória prevista na cláusula contratual.</w:t>
      </w:r>
    </w:p>
    <w:p w:rsidR="000F6337" w:rsidRDefault="009D2486" w:rsidP="009D248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No que tange ao pedido de indenização por danos materiais e morais, igualmente não há respaldo probatório suficiente. A alegação de que a instabilidade dos serviços teria acarretado prejuízos financeiros à recorrente não foi acompanhada de demonstração concreta de perdas mensuráveis ou de nexo causal direto entre as falhas apontadas e a suposta diminuição de receita da empresa. Do mesmo modo, não se verifica dano moral indenizável, uma vez que eventuais frustrações comerciais não configuram, por si só, violação a direitos da personalidade da pessoa jurídica. </w:t>
      </w:r>
    </w:p>
    <w:p w:rsidR="00AE57E5" w:rsidRPr="00AE57E5" w:rsidRDefault="00AE57E5" w:rsidP="00AE57E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Passo, então, à apreciação do recurso de apelação interposto pelos patronos da parte requerida. Consoante dispõe o artigo 85, §1º, do Código de AUTOR(A), os honorários advocatícios devem ser fixados de forma independente na ação principal e na reconvenção, na medida em que as demandas são autônomas, ainda que julgadas em conjunto. Nesse sentido, a jurisprudência do AUTOR(A) de Justiça e dos Tribunais estaduais é pacífica ao reconhecer que a condenação em honorários deve abarcar tanto a improcedência da ação principal quanto a procedência da reconvenção, de modo a garantir a adequada remuneração do trabalho realizado pelos advogados que atuaram na causa.</w:t>
      </w:r>
    </w:p>
    <w:p w:rsidR="00AE57E5" w:rsidRDefault="00AE57E5" w:rsidP="00AE57E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No caso concreto, a parte requerida obteve êxito integral na defesa, tendo a ação principal sido julgada improcedente e a reconvenção procedente. Todavia, a sentença recorrida fixou os honorários advocatícios apenas sobre o valor da condenação na reconvenção, sem considerar a sucumbência da parte autora na demanda principal. Diante disso, impõe-se a reforma parcial da sentença para que sejam arbitrados honorários advocatícios de forma independente para cada uma das demandas, aplicando-se, na ação principal, percentual sobre o valor atualizado da causa, nos termos do artigo 85, §2º, do CPC e nos termos da jurisprudência desta Corte:</w:t>
      </w:r>
    </w:p>
    <w:p w:rsidR="00AE57E5" w:rsidRDefault="00AE57E5" w:rsidP="009D248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“APELAÇÃO CÍVEL – Ação de cobrança – Ação e Reconvenção – Ação julgada procedente e improcedente a reconvenção – Fixação de honorários advocatícios na reconvenção de forma separada da ação principal – Necessidade de adequação – Inteligência do artigo 85, § 1º, do Código de AUTOR(A) – Honorários advocatícios na reconvenção são independentes daqueles fixados na ação principal – Precedentes do AUTOR(A) de Justiça – Sentença reformada – Recurso provido.” (TJSP; Apelação Cível 0000000-00.0000.0.00.0000; Relator (a): AUTOR(A); Órgão Julgador: 29ª Câmara de AUTOR(A); Foro de Piracicaba - [VARA]; Data do Julgamento: 03/03/2021; Data de Registro: 03/03/2021)</w:t>
      </w:r>
    </w:p>
    <w:p w:rsidR="00A628E8" w:rsidRDefault="002B461E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hipótese, assim, é de parcial reforma da sentença, apenas para fixar os honorários advocatícios de forma cumulativa, arbitrando-se 10% sobre o valor atualizado da causa na ação principal e mantendo-se os honorários já fixados na reconvenção (10% sobre o valor da condenação), nos termos do artigo 85, §1º, do Código de AUTOR(A), mantendo-se os demais termos da sentença tais como lançados.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 Diante do improvimento do recurso da autora, de rigor a majoração dos honorários advocatícios devidos à parte ré, que fixo em 12% sobre o valor da causa, tratando-se da ação principal; e fixo em 12% sobre o valor da condenação, tratando-se da reconvenção.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NEGO provimento ao recurso da autora e DOU provimento ao recurso da ré.</w:t>
      </w:r>
    </w:p>
    <w:p w:rsidR="00D14C33" w:rsidRPr="00324889" w:rsidRDefault="00D14C33" w:rsidP="002B57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280E" w:rsidRDefault="0087280E">
      <w:pPr>
        <w:spacing w:after="0" w:line="240" w:lineRule="auto"/>
      </w:pPr>
      <w:r>
        <w:separator/>
      </w:r>
    </w:p>
  </w:endnote>
  <w:endnote w:type="continuationSeparator" w:id="0">
    <w:p w:rsidR="0087280E" w:rsidRDefault="0087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00738A">
      <w:t xml:space="preserve">s - </w:t>
    </w:r>
    <w:r w:rsidR="0000738A">
      <w:fldChar w:fldCharType="begin"/>
    </w:r>
    <w:r w:rsidR="0000738A">
      <w:instrText>PAGE   \* MERGEFORMAT</w:instrText>
    </w:r>
    <w:r w:rsidR="0000738A">
      <w:fldChar w:fldCharType="separate"/>
    </w:r>
    <w:r w:rsidR="0000738A">
      <w:t>2</w:t>
    </w:r>
    <w:r w:rsidR="0000738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280E" w:rsidRDefault="0087280E">
      <w:pPr>
        <w:spacing w:after="0" w:line="240" w:lineRule="auto"/>
      </w:pPr>
      <w:r>
        <w:separator/>
      </w:r>
    </w:p>
  </w:footnote>
  <w:footnote w:type="continuationSeparator" w:id="0">
    <w:p w:rsidR="0087280E" w:rsidRDefault="0087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00738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00738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00738A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00738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0738A"/>
    <w:rsid w:val="00041A7B"/>
    <w:rsid w:val="000B778C"/>
    <w:rsid w:val="000F6337"/>
    <w:rsid w:val="00117FF4"/>
    <w:rsid w:val="001231EF"/>
    <w:rsid w:val="00157738"/>
    <w:rsid w:val="00171308"/>
    <w:rsid w:val="002B461E"/>
    <w:rsid w:val="002B5785"/>
    <w:rsid w:val="003A78C2"/>
    <w:rsid w:val="003F050A"/>
    <w:rsid w:val="0041614E"/>
    <w:rsid w:val="00420135"/>
    <w:rsid w:val="00432B56"/>
    <w:rsid w:val="00537505"/>
    <w:rsid w:val="00540190"/>
    <w:rsid w:val="00624984"/>
    <w:rsid w:val="00674E4D"/>
    <w:rsid w:val="00771C38"/>
    <w:rsid w:val="007B4EF3"/>
    <w:rsid w:val="007D4C16"/>
    <w:rsid w:val="0087280E"/>
    <w:rsid w:val="008A3931"/>
    <w:rsid w:val="009707EB"/>
    <w:rsid w:val="00986E92"/>
    <w:rsid w:val="00993E7A"/>
    <w:rsid w:val="009B41D1"/>
    <w:rsid w:val="009D2486"/>
    <w:rsid w:val="00A628E8"/>
    <w:rsid w:val="00AE57E5"/>
    <w:rsid w:val="00B2724A"/>
    <w:rsid w:val="00B92B9B"/>
    <w:rsid w:val="00C05B54"/>
    <w:rsid w:val="00C311C7"/>
    <w:rsid w:val="00C37FA2"/>
    <w:rsid w:val="00CA0813"/>
    <w:rsid w:val="00D01DC8"/>
    <w:rsid w:val="00D14C33"/>
    <w:rsid w:val="00D778B4"/>
    <w:rsid w:val="00E93BFB"/>
    <w:rsid w:val="00EA0325"/>
    <w:rsid w:val="00EA08CF"/>
    <w:rsid w:val="00EC296C"/>
    <w:rsid w:val="00F10E1A"/>
    <w:rsid w:val="00FB2530"/>
    <w:rsid w:val="00FC17F1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A01EA97-B46E-4C8B-AF69-0B6EE2F9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1951</Words>
  <Characters>10541</Characters>
  <Application>Microsoft Office Word</Application>
  <DocSecurity>4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2025-06-11T23:24:00Z</dcterms:created>
  <dcterms:modified xsi:type="dcterms:W3CDTF">2025-06-11T23:24:00Z</dcterms:modified>
</cp:coreProperties>
</file>