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TAUBATÉ – 5ª VARA CÍVEL </w:t>
      </w:r>
    </w:p>
    <w:p w:rsidR="00D14C33" w:rsidRPr="006A6130" w:rsidRDefault="00D14C33" w:rsidP="00D14C33">
      <w:pPr>
        <w:spacing w:after="0" w:line="360" w:lineRule="auto"/>
        <w:jc w:val="both"/>
        <w:rPr>
          <w:rFonts w:ascii="Arial" w:hAnsi="Arial" w:cs="Arial"/>
          <w:b/>
          <w:bCs/>
          <w:sz w:val="24"/>
        </w:rPr>
      </w:pPr>
      <w:r>
        <w:t>APELANTES: AUTOR(A) e outro / Laura de AUTOR(A)</w:t>
      </w:r>
    </w:p>
    <w:p w:rsidR="00D14C33" w:rsidRPr="00853E15" w:rsidRDefault="00D14C33" w:rsidP="00D14C33">
      <w:pPr>
        <w:spacing w:after="0" w:line="360" w:lineRule="auto"/>
        <w:jc w:val="both"/>
        <w:rPr>
          <w:rFonts w:ascii="Arial" w:hAnsi="Arial" w:cs="Arial"/>
          <w:b/>
          <w:bCs/>
          <w:sz w:val="24"/>
        </w:rPr>
      </w:pPr>
      <w:r>
        <w:t>APELADAS: Laura de AUTOR(A) / AUTOR(A) e outro</w:t>
      </w:r>
    </w:p>
    <w:p w:rsidR="00D14C33" w:rsidRPr="00853E15" w:rsidRDefault="00D14C33" w:rsidP="00D14C33">
      <w:pPr>
        <w:spacing w:after="0" w:line="360" w:lineRule="auto"/>
        <w:jc w:val="both"/>
        <w:rPr>
          <w:rFonts w:ascii="Arial" w:hAnsi="Arial" w:cs="Arial"/>
          <w:sz w:val="24"/>
        </w:rPr>
      </w:pPr>
      <w:r>
        <w:t>JUIZ PROLATOR: AUTOR(A) do AUTOR(A)</w:t>
        <w:br/>
      </w:r>
    </w:p>
    <w:p w:rsidR="00D14C33" w:rsidRDefault="00D14C33" w:rsidP="00D14C33">
      <w:pPr>
        <w:spacing w:after="0" w:line="360" w:lineRule="auto"/>
        <w:jc w:val="both"/>
        <w:rPr>
          <w:rFonts w:ascii="Arial" w:hAnsi="Arial" w:cs="Arial"/>
          <w:b/>
          <w:sz w:val="24"/>
        </w:rPr>
      </w:pPr>
      <w:r>
        <w:t>VOTO Nº 11.481</w:t>
      </w:r>
    </w:p>
    <w:p w:rsidR="00D14C33" w:rsidRPr="00324889" w:rsidRDefault="00D14C33" w:rsidP="00D14C33">
      <w:pPr>
        <w:spacing w:after="0" w:line="360" w:lineRule="auto"/>
        <w:jc w:val="both"/>
        <w:rPr>
          <w:rFonts w:ascii="Arial" w:hAnsi="Arial" w:cs="Arial"/>
          <w:sz w:val="24"/>
        </w:rPr>
      </w:pPr>
      <w:r/>
    </w:p>
    <w:p w:rsidR="00D14C33" w:rsidRDefault="00E76644" w:rsidP="00E76644">
      <w:pPr>
        <w:pStyle w:val="Recuodecorpodetexto"/>
        <w:rPr>
          <w:rFonts w:ascii="Arial" w:hAnsi="Arial" w:cs="Arial"/>
          <w:sz w:val="22"/>
          <w:szCs w:val="22"/>
        </w:rPr>
      </w:pPr>
      <w:r>
        <w:t>APELAÇÃO – PRESTAÇÃO DE SERVIÇOS ADVOCATÍCIOS - HONORÁRIOS ADVOCATÍCIOS – ARBITRAMENTO – SERVIÇOS PRESTADOS EM AÇÕES JUDICIAIS – PARCIAL PROCEDÊNCIA. Ação de arbitramento de honorários advocatícios decorrente de prestação de serviços em duas ações executivas e uma ação de busca e apreensão de menores. Reconhecimento parcial do direito aos honorários advocatícios, com fixação proporcional considerando o grau de complexidade, o volume dos serviços efetivamente prestados e a fase em que houve desistência. Verba honorária fixada com base em 30% do valor mínimo estabelecido pela Tabela da OAB/SP, em consonância com o tempo e a atuação demonstrados nos autos. Pleito de majoração das autoras afastado por inexistência de provas que justifiquem aumento. Pretensão da ré à redução rejeitada, ante a proporcionalidade observada na sentença. Decisão mantida integralmente. Recursos improvidos.</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EB2946" w:rsidRPr="00EB2946" w:rsidRDefault="00EB2946" w:rsidP="00EB2946">
      <w:pPr>
        <w:spacing w:line="360" w:lineRule="auto"/>
        <w:ind w:firstLine="1418"/>
        <w:jc w:val="both"/>
        <w:rPr>
          <w:rFonts w:ascii="Arial" w:hAnsi="Arial" w:cs="Arial"/>
          <w:sz w:val="24"/>
          <w:szCs w:val="24"/>
        </w:rPr>
      </w:pPr>
      <w:r>
        <w:t>Trata-se de ação de arbitramento de honorários advocatícios, fundada no artigo 22, § 2º, da Lei nº 8.906/94 e no artigo 36 do Código de Ética e Disciplina da OAB, ajuizada por AUTOR(A) e AUTOR(A) da AUTOR(A) em face de Laura de AUTOR(A), julgada parcialmente procedente pela r. sentença de fls. 825/828, cujo relatório se adota, para condenar a ré ao pagamento de R$ 4.465,71 (quatro mil quatrocentos e sessenta e cinco reais e setenta e um centavos), a título de honorários advocatícios, acrescidos de correção monetária e juros de mora de 1% ao mês desde a citação.</w:t>
      </w:r>
    </w:p>
    <w:p w:rsidR="00EE1187" w:rsidRPr="00EE1187" w:rsidRDefault="00EE1187" w:rsidP="00EE1187">
      <w:pPr>
        <w:autoSpaceDE w:val="0"/>
        <w:autoSpaceDN w:val="0"/>
        <w:adjustRightInd w:val="0"/>
        <w:spacing w:line="360" w:lineRule="auto"/>
        <w:ind w:firstLine="1418"/>
        <w:jc w:val="both"/>
        <w:rPr>
          <w:rFonts w:ascii="Arial" w:hAnsi="Arial" w:cs="Arial"/>
          <w:sz w:val="24"/>
        </w:rPr>
      </w:pPr>
      <w:r>
        <w:t>Inconformadas, recorrem ambas as partes, buscando a reforma do julgado. A autora aduz, em síntese, que a sentença não considerou de forma adequada o volume e a complexidade dos serviços prestados na ação de busca e apreensão de menores, sustentando que atuaram por aproximadamente um ano em três processos distintos, inclusive com acompanhamento e orientação constante, sendo injusto o arbitramento em apenas 30% do valor previsto na tabela da OAB/SP. Pugna pela reforma da sentença para majorar a verba honorária referente a essa ação, fixando-a em 50% do valor constante na tabela da OAB/SP.</w:t>
      </w:r>
    </w:p>
    <w:p w:rsidR="00EE1187" w:rsidRPr="00EE1187" w:rsidRDefault="00EE1187" w:rsidP="00EE1187">
      <w:pPr>
        <w:autoSpaceDE w:val="0"/>
        <w:autoSpaceDN w:val="0"/>
        <w:adjustRightInd w:val="0"/>
        <w:spacing w:line="360" w:lineRule="auto"/>
        <w:ind w:firstLine="1418"/>
        <w:jc w:val="both"/>
        <w:rPr>
          <w:rFonts w:ascii="Arial" w:hAnsi="Arial" w:cs="Arial"/>
          <w:sz w:val="24"/>
        </w:rPr>
      </w:pPr>
      <w:r>
        <w:t>Já a parte ré sustenta que os valores arbitrados foram excessivos, especialmente na ação de busca e apreensão, que foi extinta por desistência ainda na fase de citação, sem qualquer decisão judicial. Argumenta, ainda, que uma das ações permanece em trâmite e que sequer houve benefício econômico, razão pela qual requer a redução dos honorários fixados para um total de R$ 3.137,85, distribuídos proporcionalmente entre os três processos.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a ambas as partes e regularmente processado, com contrarrazões pela parte ré (fls. 885/888).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 ambos os recursos.</w:t>
      </w:r>
    </w:p>
    <w:p w:rsidR="00EE1187" w:rsidRPr="00EE1187" w:rsidRDefault="00EE1187" w:rsidP="00EE1187">
      <w:pPr>
        <w:tabs>
          <w:tab w:val="center" w:pos="4961"/>
        </w:tabs>
        <w:spacing w:line="360" w:lineRule="auto"/>
        <w:ind w:firstLine="1418"/>
        <w:jc w:val="both"/>
        <w:rPr>
          <w:rFonts w:ascii="Arial" w:hAnsi="Arial" w:cs="Arial"/>
          <w:sz w:val="24"/>
        </w:rPr>
      </w:pPr>
      <w:r>
        <w:t>Narra a parte autora em sua inicial que celebrou contrato de prestação de serviços advocatícios com a ré para atuação em duas ações de execução e uma ação de busca e apreensão de menores, tendo prestado serviços jurídicos por aproximadamente um ano. Alega que, embora tenha havido contrato escrito em relação às execuções, a ação de busca e apreensão foi proposta mediante outorga de procuração, sem contrato formal. Sustenta que, após extensa atuação, a ré solicitou a renúncia do patrocínio e se recusou a pagar qualquer quantia pelos serviços prestados, razão pela qual ingressaram com a presente ação de arbitramento de honorários.</w:t>
      </w:r>
    </w:p>
    <w:p w:rsidR="00EE1187" w:rsidRPr="00EE1187" w:rsidRDefault="00EE1187" w:rsidP="00EE1187">
      <w:pPr>
        <w:tabs>
          <w:tab w:val="center" w:pos="4961"/>
        </w:tabs>
        <w:spacing w:line="360" w:lineRule="auto"/>
        <w:ind w:firstLine="1418"/>
        <w:jc w:val="both"/>
        <w:rPr>
          <w:rFonts w:ascii="Arial" w:hAnsi="Arial" w:cs="Arial"/>
          <w:sz w:val="24"/>
        </w:rPr>
      </w:pPr>
      <w:r>
        <w:t>Em sede de contestação, a parte ré reconheceu parcialmente a prestação dos serviços, mas impugnou os valores pleiteados, afirmando serem excessivos e desproporcionais à atuação das autoras, especialmente diante da fase inicial da ação de busca e apreensão e do fato de que uma das ações ainda se encontrava em trâmite. Requereu o arbitramento dos honorários em valor global não superior a R$ 3.000,00.</w:t>
      </w:r>
    </w:p>
    <w:p w:rsidR="00EE1187" w:rsidRPr="00EE1187" w:rsidRDefault="00EE1187" w:rsidP="00EE1187">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1853B1" w:rsidRDefault="001853B1" w:rsidP="001853B1">
      <w:pPr>
        <w:tabs>
          <w:tab w:val="center" w:pos="4961"/>
        </w:tabs>
        <w:spacing w:line="360" w:lineRule="auto"/>
        <w:ind w:firstLine="1418"/>
        <w:jc w:val="both"/>
        <w:rPr>
          <w:rFonts w:ascii="Arial" w:hAnsi="Arial" w:cs="Arial"/>
          <w:sz w:val="24"/>
        </w:rPr>
      </w:pPr>
      <w:r>
        <w:t>Da detida análise dos autos, tenho que os pedidos recursais não merecem acolhimento, pois a sentença recorrida analisou de forma criteriosa as provas constantes nos autos e corretamente concluiu pelo arbitramento proporcional dos honorários devidos, respeitando os parâmetros legais e éticos previstos no artigo 22, § 2º, da Lei 8.906/94 e no artigo 36 do Código de Ética da OAB. Acertadamente, ainda, adotou a tabela da OAB/SP como base de cálculo, cujo parâmetro é entendimento pacífico neste Tribunal:</w:t>
      </w:r>
    </w:p>
    <w:p w:rsidR="00316C62" w:rsidRDefault="00316C62" w:rsidP="001853B1">
      <w:pPr>
        <w:tabs>
          <w:tab w:val="center" w:pos="4961"/>
        </w:tabs>
        <w:spacing w:line="360" w:lineRule="auto"/>
        <w:ind w:firstLine="1418"/>
        <w:jc w:val="both"/>
        <w:rPr>
          <w:rFonts w:ascii="Arial" w:hAnsi="Arial" w:cs="Arial"/>
          <w:sz w:val="24"/>
        </w:rPr>
      </w:pPr>
      <w:r>
        <w:t>“PRESTAÇÃO DE SERVIÇOS ADVOCATÍCIOS - Alegação de inadimplemento contratual envolvendo retenção de valores, cobranças indevidas e ausência de informações - Ação de indenização por danos materiais e morais proposta pelas contratantes - Sentença de parcial procedência - Apelo de ambas as partes - Danos materiais parcialmente verificados - Danos morais não caracterizados - Indenização inexigível - Apelações parcialmente providas PRESTAÇÃO DE SERVIÇOS ADVOCATÍCIOS - Patrocínio de ação de despejo por falta de pagamento, cumulada com cobrança - Ausência de contrato escrito - Ação de arbitramento e cobrança de honorários advocatícios - Sentença de parcial procedência - Apelo da ré - Prestação de serviços desvinculada da contratação envolvendo a arrematação do imóvel - Honorários devidos - Arbitramento que adota como base de cálculo a tabela da OAB/SP - Sentença mantida - Apelação desprovida” (TJSP; Apelação Cível 0000000-00.0000.0.00.0000; Relator (a): AUTOR(A); Órgão Julgador: 29ª Câmara de AUTOR(A); AUTOR(A) Cível - [VARA]; Data do Julgamento: 20/10/2023; Data de Registro: 23/10/2023)</w:t>
      </w:r>
    </w:p>
    <w:p w:rsidR="00E76644" w:rsidRPr="001853B1" w:rsidRDefault="00751353" w:rsidP="001853B1">
      <w:pPr>
        <w:tabs>
          <w:tab w:val="center" w:pos="4961"/>
        </w:tabs>
        <w:spacing w:line="360" w:lineRule="auto"/>
        <w:ind w:firstLine="1418"/>
        <w:jc w:val="both"/>
        <w:rPr>
          <w:rFonts w:ascii="Arial" w:hAnsi="Arial" w:cs="Arial"/>
          <w:sz w:val="24"/>
        </w:rPr>
      </w:pPr>
      <w:r>
        <w:t>No mesmo sentido também já me posicionei em outras ocasiões (Apelação Cível 0000000-00.0000.0.00.0000; AUTOR(A) Cível - [VARA]; Data do Julgamento: 11/03/2025; Data de Registro: 11/03/2025 e Apelação Cível 0000000-00.0000.0.00.0000; Foro de Assis - [VARA]; Data do Julgamento: 29/11/2024).</w:t>
      </w:r>
    </w:p>
    <w:p w:rsidR="001853B1" w:rsidRPr="001853B1" w:rsidRDefault="001853B1" w:rsidP="001853B1">
      <w:pPr>
        <w:tabs>
          <w:tab w:val="center" w:pos="4961"/>
        </w:tabs>
        <w:spacing w:line="360" w:lineRule="auto"/>
        <w:ind w:firstLine="1418"/>
        <w:jc w:val="both"/>
        <w:rPr>
          <w:rFonts w:ascii="Arial" w:hAnsi="Arial" w:cs="Arial"/>
          <w:sz w:val="24"/>
        </w:rPr>
      </w:pPr>
      <w:r>
        <w:t>Com efeito, a fixação de 30% do valor mínimo da Tabela da OAB/SP a título de honorários pela atuação na ação de busca e apreensão mostra-se adequada, por refletir a atuação parcial das autoras e observar critérios de moderação, tempo de trabalho, natureza da causa e atuação pré-processual e inicial. Não se vislumbra, portanto, desproporcionalidade que justifique a redução pretendida pela ré, tampouco se verifica, como sustentado pelas autoras, omissão ou insuficiência de valoração que autorize a majoração para 50%, especialmente diante da fase processual em que a desistência ocorreu.</w:t>
      </w:r>
    </w:p>
    <w:p w:rsidR="00C0746B" w:rsidRDefault="00C0746B" w:rsidP="001853B1">
      <w:pPr>
        <w:tabs>
          <w:tab w:val="center" w:pos="4961"/>
        </w:tabs>
        <w:spacing w:line="360" w:lineRule="auto"/>
        <w:ind w:firstLine="1418"/>
        <w:jc w:val="both"/>
        <w:rPr>
          <w:rFonts w:ascii="Arial" w:hAnsi="Arial" w:cs="Arial"/>
          <w:sz w:val="24"/>
        </w:rPr>
      </w:pPr>
      <w:r>
        <w:t>Quanto às demais ações, a sentença respeitou os valores contratualmente pactuados, sendo incabível a pretensão da ré de reduzir os honorários por ausência de proveito econômico imediato, já que a prestação de serviços efetiva e contínua foi comprovada, sendo irrelevante o desfecho ainda pendente nas ações judiciais, mormente porque já houve a renúncia das autoras ao patrocínio, a pedido da própria ré, o que confirma a completa desvinculação contratual e consolida o direito à remuneração pelos atos efetivamente praticados.</w:t>
      </w:r>
    </w:p>
    <w:p w:rsidR="001853B1" w:rsidRDefault="001853B1" w:rsidP="001853B1">
      <w:pPr>
        <w:tabs>
          <w:tab w:val="center" w:pos="4961"/>
        </w:tabs>
        <w:spacing w:line="360" w:lineRule="auto"/>
        <w:ind w:firstLine="1418"/>
        <w:jc w:val="both"/>
        <w:rPr>
          <w:rFonts w:ascii="Arial" w:hAnsi="Arial" w:cs="Arial"/>
          <w:sz w:val="24"/>
        </w:rPr>
      </w:pPr>
      <w:r>
        <w:t>Desta feita, entendo ser inviável afastar os termos da sentença, a qual fica mantida por seus próprios fundamentos, ora adotados como razão de decidir, nos termos do art. 252 do RITJ.</w:t>
      </w:r>
    </w:p>
    <w:p w:rsidR="001853B1" w:rsidRPr="00670FAD" w:rsidRDefault="001853B1" w:rsidP="001853B1">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1853B1" w:rsidRPr="00670FAD" w:rsidRDefault="001853B1" w:rsidP="001853B1">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1853B1" w:rsidRPr="00670FAD" w:rsidRDefault="001853B1" w:rsidP="001853B1">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1853B1" w:rsidRDefault="001853B1" w:rsidP="001853B1">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1853B1" w:rsidRDefault="001853B1" w:rsidP="001853B1">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1853B1" w:rsidRPr="001853B1" w:rsidRDefault="001853B1" w:rsidP="001853B1">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R$ 1.700,00, observada a gratuidade judiciária concedida a ambas as partes.</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aos recursos.</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7D5A" w:rsidRDefault="008C7D5A">
      <w:pPr>
        <w:spacing w:after="0" w:line="240" w:lineRule="auto"/>
      </w:pPr>
      <w:r>
        <w:separator/>
      </w:r>
    </w:p>
  </w:endnote>
  <w:endnote w:type="continuationSeparator" w:id="0">
    <w:p w:rsidR="008C7D5A" w:rsidRDefault="008C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8C7D5A">
      <w:t xml:space="preserve">s - </w:t>
    </w:r>
    <w:r w:rsidR="008C7D5A">
      <w:fldChar w:fldCharType="begin"/>
    </w:r>
    <w:r w:rsidR="008C7D5A">
      <w:instrText>PAGE   \* MERGEFORMAT</w:instrText>
    </w:r>
    <w:r w:rsidR="008C7D5A">
      <w:fldChar w:fldCharType="separate"/>
    </w:r>
    <w:r w:rsidR="008C7D5A">
      <w:t>2</w:t>
    </w:r>
    <w:r w:rsidR="008C7D5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7D5A" w:rsidRDefault="008C7D5A">
      <w:pPr>
        <w:spacing w:after="0" w:line="240" w:lineRule="auto"/>
      </w:pPr>
      <w:r>
        <w:separator/>
      </w:r>
    </w:p>
  </w:footnote>
  <w:footnote w:type="continuationSeparator" w:id="0">
    <w:p w:rsidR="008C7D5A" w:rsidRDefault="008C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8C7D5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8C7D5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8C7D5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8C7D5A">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27907"/>
    <w:rsid w:val="00157738"/>
    <w:rsid w:val="00171308"/>
    <w:rsid w:val="001853B1"/>
    <w:rsid w:val="002061F3"/>
    <w:rsid w:val="00316C62"/>
    <w:rsid w:val="003F050A"/>
    <w:rsid w:val="00432B56"/>
    <w:rsid w:val="00540190"/>
    <w:rsid w:val="00751353"/>
    <w:rsid w:val="007B4EF3"/>
    <w:rsid w:val="007B7333"/>
    <w:rsid w:val="0084382E"/>
    <w:rsid w:val="008C7D5A"/>
    <w:rsid w:val="008E61F1"/>
    <w:rsid w:val="009707EB"/>
    <w:rsid w:val="009803F5"/>
    <w:rsid w:val="00986E92"/>
    <w:rsid w:val="00993E7A"/>
    <w:rsid w:val="009B41D1"/>
    <w:rsid w:val="00A628E8"/>
    <w:rsid w:val="00B2724A"/>
    <w:rsid w:val="00C0746B"/>
    <w:rsid w:val="00CA0813"/>
    <w:rsid w:val="00D057CC"/>
    <w:rsid w:val="00D14C33"/>
    <w:rsid w:val="00D62F71"/>
    <w:rsid w:val="00D778B4"/>
    <w:rsid w:val="00E76644"/>
    <w:rsid w:val="00E93BFB"/>
    <w:rsid w:val="00EA0325"/>
    <w:rsid w:val="00EA08CF"/>
    <w:rsid w:val="00EB2946"/>
    <w:rsid w:val="00EC296C"/>
    <w:rsid w:val="00EE1187"/>
    <w:rsid w:val="00FB2530"/>
    <w:rsid w:val="00FD5309"/>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A8DAD0E3-C865-4967-89F7-1FA23154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39263">
      <w:bodyDiv w:val="1"/>
      <w:marLeft w:val="0"/>
      <w:marRight w:val="0"/>
      <w:marTop w:val="0"/>
      <w:marBottom w:val="0"/>
      <w:divBdr>
        <w:top w:val="none" w:sz="0" w:space="0" w:color="auto"/>
        <w:left w:val="none" w:sz="0" w:space="0" w:color="auto"/>
        <w:bottom w:val="none" w:sz="0" w:space="0" w:color="auto"/>
        <w:right w:val="none" w:sz="0" w:space="0" w:color="auto"/>
      </w:divBdr>
    </w:div>
    <w:div w:id="442070251">
      <w:bodyDiv w:val="1"/>
      <w:marLeft w:val="0"/>
      <w:marRight w:val="0"/>
      <w:marTop w:val="0"/>
      <w:marBottom w:val="0"/>
      <w:divBdr>
        <w:top w:val="none" w:sz="0" w:space="0" w:color="auto"/>
        <w:left w:val="none" w:sz="0" w:space="0" w:color="auto"/>
        <w:bottom w:val="none" w:sz="0" w:space="0" w:color="auto"/>
        <w:right w:val="none" w:sz="0" w:space="0" w:color="auto"/>
      </w:divBdr>
    </w:div>
    <w:div w:id="600378612">
      <w:bodyDiv w:val="1"/>
      <w:marLeft w:val="0"/>
      <w:marRight w:val="0"/>
      <w:marTop w:val="0"/>
      <w:marBottom w:val="0"/>
      <w:divBdr>
        <w:top w:val="none" w:sz="0" w:space="0" w:color="auto"/>
        <w:left w:val="none" w:sz="0" w:space="0" w:color="auto"/>
        <w:bottom w:val="none" w:sz="0" w:space="0" w:color="auto"/>
        <w:right w:val="none" w:sz="0" w:space="0" w:color="auto"/>
      </w:divBdr>
    </w:div>
    <w:div w:id="1029646836">
      <w:bodyDiv w:val="1"/>
      <w:marLeft w:val="0"/>
      <w:marRight w:val="0"/>
      <w:marTop w:val="0"/>
      <w:marBottom w:val="0"/>
      <w:divBdr>
        <w:top w:val="none" w:sz="0" w:space="0" w:color="auto"/>
        <w:left w:val="none" w:sz="0" w:space="0" w:color="auto"/>
        <w:bottom w:val="none" w:sz="0" w:space="0" w:color="auto"/>
        <w:right w:val="none" w:sz="0" w:space="0" w:color="auto"/>
      </w:divBdr>
    </w:div>
    <w:div w:id="1394040545">
      <w:bodyDiv w:val="1"/>
      <w:marLeft w:val="0"/>
      <w:marRight w:val="0"/>
      <w:marTop w:val="0"/>
      <w:marBottom w:val="0"/>
      <w:divBdr>
        <w:top w:val="none" w:sz="0" w:space="0" w:color="auto"/>
        <w:left w:val="none" w:sz="0" w:space="0" w:color="auto"/>
        <w:bottom w:val="none" w:sz="0" w:space="0" w:color="auto"/>
        <w:right w:val="none" w:sz="0" w:space="0" w:color="auto"/>
      </w:divBdr>
    </w:div>
    <w:div w:id="1496140355">
      <w:bodyDiv w:val="1"/>
      <w:marLeft w:val="0"/>
      <w:marRight w:val="0"/>
      <w:marTop w:val="0"/>
      <w:marBottom w:val="0"/>
      <w:divBdr>
        <w:top w:val="none" w:sz="0" w:space="0" w:color="auto"/>
        <w:left w:val="none" w:sz="0" w:space="0" w:color="auto"/>
        <w:bottom w:val="none" w:sz="0" w:space="0" w:color="auto"/>
        <w:right w:val="none" w:sz="0" w:space="0" w:color="auto"/>
      </w:divBdr>
    </w:div>
    <w:div w:id="1510633256">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833567163">
      <w:bodyDiv w:val="1"/>
      <w:marLeft w:val="0"/>
      <w:marRight w:val="0"/>
      <w:marTop w:val="0"/>
      <w:marBottom w:val="0"/>
      <w:divBdr>
        <w:top w:val="none" w:sz="0" w:space="0" w:color="auto"/>
        <w:left w:val="none" w:sz="0" w:space="0" w:color="auto"/>
        <w:bottom w:val="none" w:sz="0" w:space="0" w:color="auto"/>
        <w:right w:val="none" w:sz="0" w:space="0" w:color="auto"/>
      </w:divBdr>
    </w:div>
    <w:div w:id="1922442552">
      <w:bodyDiv w:val="1"/>
      <w:marLeft w:val="0"/>
      <w:marRight w:val="0"/>
      <w:marTop w:val="0"/>
      <w:marBottom w:val="0"/>
      <w:divBdr>
        <w:top w:val="none" w:sz="0" w:space="0" w:color="auto"/>
        <w:left w:val="none" w:sz="0" w:space="0" w:color="auto"/>
        <w:bottom w:val="none" w:sz="0" w:space="0" w:color="auto"/>
        <w:right w:val="none" w:sz="0" w:space="0" w:color="auto"/>
      </w:divBdr>
    </w:div>
    <w:div w:id="1926836982">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1596</Words>
  <Characters>8624</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