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LENÇOIS PAULISTA – 3ª VARA CÍVEL </w:t>
      </w:r>
    </w:p>
    <w:p w:rsidR="00D14C33" w:rsidRPr="006A6130" w:rsidRDefault="00D14C33" w:rsidP="00D14C33">
      <w:pPr>
        <w:spacing w:after="0" w:line="360" w:lineRule="auto"/>
        <w:jc w:val="both"/>
        <w:rPr>
          <w:rFonts w:ascii="Arial" w:hAnsi="Arial" w:cs="Arial"/>
          <w:b/>
          <w:bCs/>
          <w:sz w:val="24"/>
        </w:rPr>
      </w:pPr>
      <w:r>
        <w:t>APELANTES: AUTOR(A) / AUTOR(A) Me EPP</w:t>
      </w:r>
    </w:p>
    <w:p w:rsidR="00D14C33" w:rsidRDefault="00D14C33" w:rsidP="00D14C33">
      <w:pPr>
        <w:spacing w:after="0" w:line="360" w:lineRule="auto"/>
        <w:jc w:val="both"/>
        <w:rPr>
          <w:rFonts w:ascii="Arial" w:hAnsi="Arial" w:cs="Arial"/>
          <w:b/>
          <w:bCs/>
          <w:sz w:val="24"/>
        </w:rPr>
      </w:pPr>
      <w:r>
        <w:t>APELADOS: AUTOR(A) Me EPP / AUTOR(A)</w:t>
      </w:r>
    </w:p>
    <w:p w:rsidR="00A12A08" w:rsidRPr="00853E15" w:rsidRDefault="00A12A08" w:rsidP="00D14C33">
      <w:pPr>
        <w:spacing w:after="0" w:line="360" w:lineRule="auto"/>
        <w:jc w:val="both"/>
        <w:rPr>
          <w:rFonts w:ascii="Arial" w:hAnsi="Arial" w:cs="Arial"/>
          <w:b/>
          <w:bCs/>
          <w:sz w:val="24"/>
        </w:rPr>
      </w:pPr>
      <w:r>
        <w:t>JUIZ PROLATOR:  AUTOR(A)</w:t>
      </w:r>
    </w:p>
    <w:p w:rsidR="00D14C33" w:rsidRPr="00853E15" w:rsidRDefault="00D14C33" w:rsidP="00D14C33">
      <w:pPr>
        <w:spacing w:after="0" w:line="360" w:lineRule="auto"/>
        <w:jc w:val="both"/>
        <w:rPr>
          <w:rFonts w:ascii="Arial" w:hAnsi="Arial" w:cs="Arial"/>
          <w:sz w:val="24"/>
        </w:rPr>
      </w:pPr>
      <w:r/>
    </w:p>
    <w:p w:rsidR="00D14C33" w:rsidRDefault="00D14C33" w:rsidP="00D14C33">
      <w:pPr>
        <w:spacing w:after="0" w:line="360" w:lineRule="auto"/>
        <w:jc w:val="both"/>
        <w:rPr>
          <w:rFonts w:ascii="Arial" w:hAnsi="Arial" w:cs="Arial"/>
          <w:b/>
          <w:sz w:val="24"/>
        </w:rPr>
      </w:pPr>
      <w:r>
        <w:t>VOTO Nº 11.482</w:t>
      </w:r>
    </w:p>
    <w:p w:rsidR="00D14C33" w:rsidRPr="00324889" w:rsidRDefault="00D14C33" w:rsidP="00D14C33">
      <w:pPr>
        <w:spacing w:after="0" w:line="360" w:lineRule="auto"/>
        <w:jc w:val="both"/>
        <w:rPr>
          <w:rFonts w:ascii="Arial" w:hAnsi="Arial" w:cs="Arial"/>
          <w:sz w:val="24"/>
        </w:rPr>
      </w:pPr>
      <w:r/>
    </w:p>
    <w:p w:rsidR="004B0D43" w:rsidRPr="004B0D43" w:rsidRDefault="004B0D43" w:rsidP="004B0D43">
      <w:pPr>
        <w:pStyle w:val="Recuodecorpodetexto"/>
        <w:rPr>
          <w:rFonts w:ascii="Arial" w:hAnsi="Arial" w:cs="Arial"/>
          <w:sz w:val="22"/>
          <w:szCs w:val="22"/>
        </w:rPr>
      </w:pPr>
      <w:r>
        <w:t>APELAÇÃO CÍVEL – AÇÃO DE COBRANÇA – Prestação de serviços de coleta de resíduos sólidos – Relação comercial entre as partes demonstrada – Existência de documentos comprobatórios da efetiva execução contratual – MTRs assinados por terceiros envolvidos – Impugnação genérica da ré desacompanhada de prova robusta – Sentença de parcial procedência mantida. RECURSO ADESIVO – Deserção – Ausência de recolhimento do preparo – Não conhecimento. Recurso da ré improvido – Recurso adesivo não conhecido.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9D1903" w:rsidRPr="009D1903" w:rsidRDefault="000F38F0" w:rsidP="009D1903">
      <w:pPr>
        <w:autoSpaceDE w:val="0"/>
        <w:autoSpaceDN w:val="0"/>
        <w:adjustRightInd w:val="0"/>
        <w:spacing w:line="360" w:lineRule="auto"/>
        <w:ind w:firstLine="1418"/>
        <w:jc w:val="both"/>
        <w:rPr>
          <w:rFonts w:ascii="Arial" w:hAnsi="Arial" w:cs="Arial"/>
          <w:sz w:val="24"/>
          <w:szCs w:val="24"/>
        </w:rPr>
      </w:pPr>
      <w:r>
        <w:t>Trata-se de ação de cobrança proposta por AUTOR(A) EPP (VUPT) em face de AUTOR(A)., julgada parcialmente procedente pela r. sentença de fls. 330/334, cujo relatório se adota, para condenar a parte ré ao pagamento da quantia de R$ 64.000,00, correspondente a dois serviços de coleta de resíduos prestados pela autora, com correção monetária desde o vencimento das faturas e juros de mora de 1% ao mês a partir da citação, afastando, entretanto, o pedido de aplicação de multa contratual.</w:t>
      </w:r>
    </w:p>
    <w:p w:rsidR="009D1903" w:rsidRPr="009D1903" w:rsidRDefault="009D1903" w:rsidP="009D1903">
      <w:pPr>
        <w:autoSpaceDE w:val="0"/>
        <w:autoSpaceDN w:val="0"/>
        <w:adjustRightInd w:val="0"/>
        <w:spacing w:line="360" w:lineRule="auto"/>
        <w:ind w:firstLine="1418"/>
        <w:jc w:val="both"/>
        <w:rPr>
          <w:rFonts w:ascii="Arial" w:hAnsi="Arial" w:cs="Arial"/>
          <w:sz w:val="24"/>
          <w:szCs w:val="24"/>
        </w:rPr>
      </w:pPr>
      <w:r>
        <w:t>Inconformada, apela a parte ré (fls. 345/357), sustentando, em síntese, a inépcia da petição inicial por ausência de documentos indispensáveis; a inexistência de obrigação, por ausência de contrato formal e por suposta inconsistência dos documentos juntados com a inicial; e a necessidade de reforma da sentença em razão de valoração equivocada da prova. Requereu, ao final, a improcedência da ação.</w:t>
      </w:r>
    </w:p>
    <w:p w:rsidR="000F38F0" w:rsidRPr="009D1903" w:rsidRDefault="009D1903" w:rsidP="00280A6F">
      <w:pPr>
        <w:autoSpaceDE w:val="0"/>
        <w:autoSpaceDN w:val="0"/>
        <w:adjustRightInd w:val="0"/>
        <w:spacing w:line="360" w:lineRule="auto"/>
        <w:ind w:firstLine="1418"/>
        <w:jc w:val="both"/>
        <w:rPr>
          <w:rFonts w:ascii="Arial" w:hAnsi="Arial" w:cs="Arial"/>
          <w:sz w:val="24"/>
          <w:szCs w:val="24"/>
        </w:rPr>
      </w:pPr>
      <w:r>
        <w:t>A parte autora interpôs recurso adesivo, objetivando a aplicação da multa contratual e a alteração do termo inicial dos juros moratórios. Instada a recolher as custas de preparo, quedou-se inerte (fl.392).</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pelo réu (fls. 358/359 e 404/405) e regularmente processado, com contrarrazões (fls. 363/369 pelo autor e fls. 381/293 pelo réu). Recebido, neste momento, em seus efeitos legais, nos termos do artigo 1.012 do Código de AUTOR(A).</w:t>
      </w:r>
    </w:p>
    <w:p w:rsidR="00D14C33" w:rsidRPr="00980A50" w:rsidRDefault="0058095D" w:rsidP="00D14C33">
      <w:pPr>
        <w:autoSpaceDE w:val="0"/>
        <w:autoSpaceDN w:val="0"/>
        <w:adjustRightInd w:val="0"/>
        <w:spacing w:line="360" w:lineRule="auto"/>
        <w:ind w:firstLine="1418"/>
        <w:jc w:val="both"/>
        <w:rPr>
          <w:rFonts w:ascii="Arial" w:hAnsi="Arial" w:cs="Arial"/>
          <w:sz w:val="24"/>
          <w:szCs w:val="24"/>
          <w:lang w:eastAsia="pt-BR"/>
        </w:rPr>
      </w:pPr>
      <w:r>
        <w:t>O réu manifestou oposição ao julgamento virtual (fl. 391).</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apresentados nas razões de apelação e na r. sentença, pelo meu voto, não conheço do recurso da autora e nego provimento ao recurso da ré.</w:t>
      </w:r>
    </w:p>
    <w:p w:rsidR="00DB1E29" w:rsidRPr="00DB1E29" w:rsidRDefault="00DB1E29" w:rsidP="00DB1E29">
      <w:pPr>
        <w:tabs>
          <w:tab w:val="center" w:pos="4961"/>
        </w:tabs>
        <w:spacing w:line="360" w:lineRule="auto"/>
        <w:ind w:firstLine="1418"/>
        <w:jc w:val="both"/>
        <w:rPr>
          <w:rFonts w:ascii="Arial" w:hAnsi="Arial" w:cs="Arial"/>
          <w:sz w:val="24"/>
        </w:rPr>
      </w:pPr>
      <w:r>
        <w:t>Narra a autora, AUTOR(A) EPP (VUPT), em sua inicial, que foi contratada pela ré, AUTOR(A)., para prestar serviços de coleta e remoção de resíduos sólidos recicláveis e não recicláveis nas linhas operacionais da fábrica da empresa Bracell, situada em Lençóis Paulista/SP, sob gestão da empresa GRSA. Sustenta que, apesar da regular execução dos serviços nos meses de maio e junho de 2022, as notas fiscais emitidas sob os números 1704 e 1705, nos valores de R$ 35.000,00 e R$ 29.000,00, respectivamente, não foram adimplidas, totalizando crédito no valor de R$ 64.000,00. Pleiteou, ainda, a aplicação de cláusula penal contratual no percentual de 30% sobre a média de faturamento anterior, com base em contrato apresentado nos autos.</w:t>
      </w:r>
    </w:p>
    <w:p w:rsidR="00DB1E29" w:rsidRPr="00DB1E29" w:rsidRDefault="00DB1E29" w:rsidP="00DB1E29">
      <w:pPr>
        <w:tabs>
          <w:tab w:val="center" w:pos="4961"/>
        </w:tabs>
        <w:spacing w:line="360" w:lineRule="auto"/>
        <w:ind w:firstLine="1418"/>
        <w:jc w:val="both"/>
        <w:rPr>
          <w:rFonts w:ascii="Arial" w:hAnsi="Arial" w:cs="Arial"/>
          <w:sz w:val="24"/>
        </w:rPr>
      </w:pPr>
      <w:r>
        <w:t>Em sede de contestação, a ré impugnou os pedidos, sustentando, em preliminar, a inépcia da petição inicial por ausência de documentos essenciais à propositura da demanda. No mérito, negou a existência de débito, afirmando que não houve contratação formal com a autora e que os documentos juntados — manifestos de transporte de resíduos e planilhas de controle — teriam sido produzidos unilateralmente, sem validação da GRSA ou da Bracell. Alegou inconsistências nos volumes cobrados, ausência de pesagem, descumprimento de exigências legais relacionadas à destinação de resíduos e ausência de comprovação da prestação dos serviços nos períodos indicados.</w:t>
      </w:r>
    </w:p>
    <w:p w:rsidR="00DB1E29" w:rsidRPr="00DB1E29" w:rsidRDefault="00DB1E29" w:rsidP="00DB1E29">
      <w:pPr>
        <w:tabs>
          <w:tab w:val="center" w:pos="4961"/>
        </w:tabs>
        <w:spacing w:line="360" w:lineRule="auto"/>
        <w:ind w:firstLine="1418"/>
        <w:jc w:val="both"/>
        <w:rPr>
          <w:rFonts w:ascii="Arial" w:hAnsi="Arial" w:cs="Arial"/>
          <w:sz w:val="24"/>
        </w:rPr>
      </w:pPr>
      <w:r>
        <w:t>Adveio, então, a r. sentença ora guerreada, que julgou parcialmente procedente o pedido, reconhecendo a existência de relação comercial entre as partes e a efetiva prestação dos serviços, condenando a ré ao pagamento do valor de R$ 64.000,00, com correção monetária desde os vencimentos das notas fiscais e juros de mora a partir da citação. Afastou, contudo, a incidência da cláusula penal, por entender que o contrato apresentado nos autos não havia sido assinado pela ré, não sendo oponível às suas obrigações. Condenou, ainda, a ré ao pagamento das custas processuais e honorários advocatícios fixados em 10% sobre o valor da condenação.</w:t>
      </w:r>
    </w:p>
    <w:p w:rsidR="00A628E8" w:rsidRDefault="00A628E8" w:rsidP="00D14C33">
      <w:pPr>
        <w:tabs>
          <w:tab w:val="center" w:pos="4961"/>
        </w:tabs>
        <w:spacing w:line="360" w:lineRule="auto"/>
        <w:ind w:firstLine="1418"/>
        <w:jc w:val="both"/>
        <w:rPr>
          <w:rFonts w:ascii="Arial" w:hAnsi="Arial" w:cs="Arial"/>
          <w:sz w:val="24"/>
        </w:rPr>
      </w:pPr>
      <w:r>
        <w:t>Pois bem.</w:t>
      </w:r>
    </w:p>
    <w:p w:rsidR="00DB1E29" w:rsidRPr="004F7D33" w:rsidRDefault="00A628E8" w:rsidP="00DB1E29">
      <w:pPr>
        <w:suppressAutoHyphens/>
        <w:spacing w:after="0" w:line="360" w:lineRule="auto"/>
        <w:ind w:firstLine="1418"/>
        <w:jc w:val="both"/>
        <w:rPr>
          <w:rFonts w:ascii="Arial" w:hAnsi="Arial" w:cs="Arial"/>
          <w:sz w:val="24"/>
          <w:szCs w:val="24"/>
        </w:rPr>
      </w:pPr>
      <w:r>
        <w:t>Inicialmente, no que tange ao recurso da parte autora, a hipótese é de não conhecimento do recurso em razão da deserção.</w:t>
      </w:r>
    </w:p>
    <w:p w:rsidR="00DB1E29" w:rsidRDefault="00DB1E29" w:rsidP="00DB1E29">
      <w:pPr>
        <w:suppressAutoHyphens/>
        <w:spacing w:after="0" w:line="360" w:lineRule="auto"/>
        <w:ind w:firstLine="1418"/>
        <w:jc w:val="both"/>
        <w:rPr>
          <w:rFonts w:ascii="Arial" w:hAnsi="Arial" w:cs="Arial"/>
          <w:sz w:val="24"/>
          <w:szCs w:val="24"/>
        </w:rPr>
      </w:pPr>
      <w:r>
        <w:t>Com efeito, instada a regularizar o recolhimento do preparo recursal, quedou-se inerte (fl. 392).</w:t>
      </w:r>
    </w:p>
    <w:p w:rsidR="00DB1E29" w:rsidRPr="00FC3218" w:rsidRDefault="00DB1E29" w:rsidP="00DB1E29">
      <w:pPr>
        <w:suppressAutoHyphens/>
        <w:spacing w:after="0" w:line="360" w:lineRule="auto"/>
        <w:ind w:firstLine="1418"/>
        <w:jc w:val="both"/>
        <w:rPr>
          <w:rFonts w:ascii="Arial" w:hAnsi="Arial" w:cs="Arial"/>
          <w:b/>
          <w:sz w:val="24"/>
          <w:szCs w:val="24"/>
        </w:rPr>
      </w:pPr>
      <w:r>
        <w:t>Assim, tendo em vista a inércia do apelante diante da oportunidade concedida para o recolhimento do preparo recursal, é medida de rigor o reconhecimento da deserção, nos termos do artigo 1.007, §2º, do Código de AUTOR(A).</w:t>
      </w:r>
    </w:p>
    <w:p w:rsidR="00DB1E29" w:rsidRDefault="00DB1E29" w:rsidP="00DB1E29">
      <w:pPr>
        <w:pStyle w:val="Recuodecorpodetexto"/>
        <w:suppressAutoHyphens/>
        <w:ind w:left="0" w:firstLine="1418"/>
        <w:rPr>
          <w:rFonts w:ascii="Arial" w:hAnsi="Arial" w:cs="Arial"/>
          <w:b w:val="0"/>
          <w:sz w:val="24"/>
          <w:szCs w:val="24"/>
        </w:rPr>
      </w:pPr>
      <w:r>
        <w:t xml:space="preserve">Trata-se o preparo de requisito de admissibilidade recursal que, não cumprido, impede o conhecimento do recurso. </w:t>
      </w:r>
    </w:p>
    <w:p w:rsidR="00DB1E29" w:rsidRDefault="00DB1E29" w:rsidP="00DB1E29">
      <w:pPr>
        <w:pStyle w:val="Recuodecorpodetexto"/>
        <w:suppressAutoHyphens/>
        <w:ind w:left="0" w:firstLine="1418"/>
        <w:rPr>
          <w:rFonts w:ascii="Arial" w:hAnsi="Arial" w:cs="Arial"/>
          <w:b w:val="0"/>
          <w:sz w:val="24"/>
          <w:szCs w:val="24"/>
        </w:rPr>
      </w:pPr>
      <w:r>
        <w:t>A propósito:</w:t>
      </w:r>
    </w:p>
    <w:p w:rsidR="00DB1E29" w:rsidRPr="00FC3218" w:rsidRDefault="00DB1E29" w:rsidP="00DB1E29">
      <w:pPr>
        <w:pStyle w:val="Recuodecorpodetexto"/>
        <w:suppressAutoHyphens/>
        <w:ind w:left="0" w:firstLine="1418"/>
        <w:rPr>
          <w:rFonts w:ascii="Arial" w:hAnsi="Arial" w:cs="Arial"/>
          <w:b w:val="0"/>
          <w:sz w:val="24"/>
          <w:szCs w:val="24"/>
        </w:rPr>
      </w:pPr>
      <w:r/>
    </w:p>
    <w:p w:rsidR="00DB1E29" w:rsidRDefault="00DB1E29" w:rsidP="00DB1E29">
      <w:pPr>
        <w:suppressAutoHyphens/>
        <w:spacing w:after="0" w:line="360" w:lineRule="auto"/>
        <w:ind w:firstLine="1418"/>
        <w:jc w:val="both"/>
        <w:rPr>
          <w:rFonts w:ascii="Arial" w:hAnsi="Arial"/>
          <w:bCs/>
          <w:i/>
          <w:iCs/>
        </w:rPr>
      </w:pPr>
      <w:r>
        <w:t>“Apelação – Requisito de admissibilidade recurso não satisfeito – Preparo – indeferimento da gratuidade de justiça e intimação para complementação do recolhimento, sob pena de deserção – Não atendimento – Deserção caracterizada – Recurso não conhecido.” (TJSP; Apelação Cível 0000000-00.0000.0.00.0000; Relator (a): Mário Daccache; Órgão Julgador: 29ª Câmara de AUTOR(A); Foro de Andradina - 1ª Vara; Data do Julgamento: 31/08/2022; Data de Registro: 31/08/2022).</w:t>
      </w:r>
    </w:p>
    <w:p w:rsidR="00DB1E29" w:rsidRPr="008C1E56" w:rsidRDefault="00DB1E29" w:rsidP="00DB1E29">
      <w:pPr>
        <w:suppressAutoHyphens/>
        <w:spacing w:after="0" w:line="360" w:lineRule="auto"/>
        <w:ind w:firstLine="1418"/>
        <w:jc w:val="both"/>
        <w:rPr>
          <w:rFonts w:ascii="Arial" w:hAnsi="Arial"/>
          <w:bCs/>
          <w:i/>
          <w:iCs/>
        </w:rPr>
      </w:pPr>
      <w:r/>
    </w:p>
    <w:p w:rsidR="00DB1E29" w:rsidRDefault="00DB1E29" w:rsidP="00DB1E29">
      <w:pPr>
        <w:suppressAutoHyphens/>
        <w:spacing w:after="0" w:line="360" w:lineRule="auto"/>
        <w:ind w:firstLine="1418"/>
        <w:jc w:val="both"/>
        <w:rPr>
          <w:rFonts w:ascii="Arial" w:hAnsi="Arial"/>
          <w:bCs/>
          <w:sz w:val="24"/>
          <w:szCs w:val="24"/>
        </w:rPr>
      </w:pPr>
      <w:r>
        <w:t>Assim, a hipótese é de não conhecimento do recurso interposto pela parte autora em razão da deserção, nos termos do artigo 1.007, §2º, do Código de AUTOR(A).</w:t>
      </w:r>
    </w:p>
    <w:p w:rsidR="00DB1E29" w:rsidRPr="004F7D33" w:rsidRDefault="00DB1E29" w:rsidP="00DB1E29">
      <w:pPr>
        <w:suppressAutoHyphens/>
        <w:spacing w:after="0" w:line="360" w:lineRule="auto"/>
        <w:ind w:firstLine="1418"/>
        <w:jc w:val="both"/>
        <w:rPr>
          <w:rFonts w:ascii="Arial" w:hAnsi="Arial"/>
          <w:bCs/>
          <w:sz w:val="24"/>
          <w:szCs w:val="24"/>
        </w:rPr>
      </w:pPr>
      <w:r/>
    </w:p>
    <w:p w:rsidR="00A628E8" w:rsidRDefault="00DB1E29" w:rsidP="00D14C33">
      <w:pPr>
        <w:tabs>
          <w:tab w:val="center" w:pos="4961"/>
        </w:tabs>
        <w:spacing w:line="360" w:lineRule="auto"/>
        <w:ind w:firstLine="1418"/>
        <w:jc w:val="both"/>
        <w:rPr>
          <w:rFonts w:ascii="Arial" w:hAnsi="Arial" w:cs="Arial"/>
          <w:sz w:val="24"/>
        </w:rPr>
      </w:pPr>
      <w:r>
        <w:t>Quanto ao recurso do réu, vejamos.</w:t>
      </w:r>
    </w:p>
    <w:p w:rsidR="00612661" w:rsidRPr="00612661" w:rsidRDefault="00612661" w:rsidP="00612661">
      <w:pPr>
        <w:tabs>
          <w:tab w:val="center" w:pos="4961"/>
        </w:tabs>
        <w:spacing w:line="360" w:lineRule="auto"/>
        <w:ind w:firstLine="1418"/>
        <w:jc w:val="both"/>
        <w:rPr>
          <w:rFonts w:ascii="Arial" w:hAnsi="Arial" w:cs="Arial"/>
          <w:sz w:val="24"/>
        </w:rPr>
      </w:pPr>
      <w:r>
        <w:t>A preliminar de inépcia da petição inicial não se sustenta. A exordial preenche todos os requisitos do artigo 319 do Código de AUTOR(A) e está instruída com documentos hábeis à demonstração dos fatos alegados, em especial as notas fiscais, os manifestos de transporte de resíduos (MTRs), planilhas de controle e comunicações eletrônicas. O juízo de origem corretamente afastou a alegação, inexistindo vício formal capaz de ensejar a extinção do feito sem resolução de mérito.</w:t>
      </w:r>
    </w:p>
    <w:p w:rsidR="00612661" w:rsidRPr="00612661" w:rsidRDefault="00612661" w:rsidP="00612661">
      <w:pPr>
        <w:tabs>
          <w:tab w:val="center" w:pos="4961"/>
        </w:tabs>
        <w:spacing w:line="360" w:lineRule="auto"/>
        <w:ind w:firstLine="1418"/>
        <w:jc w:val="both"/>
        <w:rPr>
          <w:rFonts w:ascii="Arial" w:hAnsi="Arial" w:cs="Arial"/>
          <w:sz w:val="24"/>
        </w:rPr>
      </w:pPr>
      <w:r>
        <w:t>No mérito, também não procede a pretensão recursal. A relação comercial entre as partes está suficientemente demonstrada nos autos, com prestação de serviços de coleta e transporte de resíduos sólidos recicláveis e não recicláveis junto à fábrica da Bracell, sob gestão da empresa GRSA. Embora a ré negue a contratação e sustente não haver vínculo contratual com a autora, a documentação constante dos autos evidencia prática reiterada e aceitação tácita da prestação dos serviços, inclusive com pagamentos efetuados em meses anteriores sob a mesma sistemática de execução e cobrança.</w:t>
      </w:r>
    </w:p>
    <w:p w:rsidR="00612661" w:rsidRPr="00612661" w:rsidRDefault="00612661" w:rsidP="00612661">
      <w:pPr>
        <w:tabs>
          <w:tab w:val="center" w:pos="4961"/>
        </w:tabs>
        <w:spacing w:line="360" w:lineRule="auto"/>
        <w:ind w:firstLine="1418"/>
        <w:jc w:val="both"/>
        <w:rPr>
          <w:rFonts w:ascii="Arial" w:hAnsi="Arial" w:cs="Arial"/>
          <w:sz w:val="24"/>
        </w:rPr>
      </w:pPr>
      <w:r>
        <w:t>Os manifestos de transporte de resíduos, ainda que produzidos pela autora, não podem ser desqualificados como provas unilaterais. A grande maioria está assinada por representantes da GRSA ou da Bracell, empresas envolvidas diretamente na operação e responsáveis pela gestão da coleta. A ausência de carimbo ou digitalização dos documentos, assim como a falta de pesagem, não invalida a comprovação dos serviços prestados, sobretudo diante da continuidade operacional, da medição por volume de caçambas — padrão adotado entre as partes — e do aproveitamento efetivo pela ré.</w:t>
      </w:r>
    </w:p>
    <w:p w:rsidR="00612661" w:rsidRPr="00612661" w:rsidRDefault="00612661" w:rsidP="00612661">
      <w:pPr>
        <w:tabs>
          <w:tab w:val="center" w:pos="4961"/>
        </w:tabs>
        <w:spacing w:line="360" w:lineRule="auto"/>
        <w:ind w:firstLine="1418"/>
        <w:jc w:val="both"/>
        <w:rPr>
          <w:rFonts w:ascii="Arial" w:hAnsi="Arial" w:cs="Arial"/>
          <w:sz w:val="24"/>
        </w:rPr>
      </w:pPr>
      <w:r>
        <w:t>As alegações de excesso de volume, de ausência de certificados de destinação (CDRs) ou de incongruência nos números apresentados tampouco se sustentam, à vista do conjunto documental apresentado, que revela lógica interna, padrão reiterado e ausência de impugnação contemporânea. Os questionamentos surgiram apenas após a cobrança, sem demonstração concreta de irregularidade ou falsidade dos registros.</w:t>
      </w:r>
    </w:p>
    <w:p w:rsidR="00612661" w:rsidRDefault="00612661" w:rsidP="00612661">
      <w:pPr>
        <w:tabs>
          <w:tab w:val="center" w:pos="4961"/>
        </w:tabs>
        <w:spacing w:line="360" w:lineRule="auto"/>
        <w:ind w:firstLine="1418"/>
        <w:jc w:val="both"/>
        <w:rPr>
          <w:rFonts w:ascii="Arial" w:hAnsi="Arial" w:cs="Arial"/>
          <w:sz w:val="24"/>
        </w:rPr>
      </w:pPr>
      <w:r>
        <w:t>Não há, portanto, nos autos, qualquer prova efetiva de que os serviços não foram prestados. Ao contrário, os documentos são robustos e coerentes, suficientes à caracterização do fato constitutivo do direito da autora, nos termos do artigo 373, inciso I, do CPC.</w:t>
      </w:r>
    </w:p>
    <w:p w:rsidR="00D039FB" w:rsidRPr="006336F9" w:rsidRDefault="00D039FB" w:rsidP="00D039FB">
      <w:pPr>
        <w:tabs>
          <w:tab w:val="center" w:pos="4961"/>
        </w:tabs>
        <w:spacing w:line="360" w:lineRule="auto"/>
        <w:ind w:firstLine="1418"/>
        <w:jc w:val="both"/>
        <w:rPr>
          <w:rFonts w:ascii="Arial" w:hAnsi="Arial" w:cs="Arial"/>
          <w:sz w:val="24"/>
          <w:szCs w:val="24"/>
        </w:rPr>
      </w:pPr>
      <w:r>
        <w:t>Nesse sentido, inviável afastar os termos da sentença, a qual fica mantida por seus próprios fundamentos, ora adotados como razão de decidir, nos termos do art. 252 do RITJ.</w:t>
      </w:r>
    </w:p>
    <w:p w:rsidR="00D039FB" w:rsidRPr="00670FAD" w:rsidRDefault="00D039FB" w:rsidP="00D039FB">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D039FB" w:rsidRPr="00670FAD" w:rsidRDefault="00D039FB" w:rsidP="00D039FB">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D039FB" w:rsidRPr="00670FAD" w:rsidRDefault="00D039FB" w:rsidP="00D039FB">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DB1E29" w:rsidRPr="00D039FB" w:rsidRDefault="00D039FB" w:rsidP="00D039FB">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D039FB" w:rsidRDefault="00D14C33" w:rsidP="00D039FB">
      <w:pPr>
        <w:tabs>
          <w:tab w:val="center" w:pos="4961"/>
        </w:tabs>
        <w:spacing w:line="360" w:lineRule="auto"/>
        <w:ind w:firstLine="1418"/>
        <w:jc w:val="both"/>
        <w:rPr>
          <w:rFonts w:ascii="Arial" w:hAnsi="Arial" w:cs="Arial"/>
          <w:sz w:val="24"/>
          <w:szCs w:val="24"/>
        </w:rPr>
      </w:pPr>
      <w:r>
        <w:t xml:space="preserve"> Assim, a hipótese é de manutenção da r. sentença de primeiro grau pelos seus próprios e sempre bem lançados fundamentos jurídicos.</w:t>
      </w:r>
    </w:p>
    <w:p w:rsidR="00D14C33" w:rsidRPr="005738D4" w:rsidRDefault="00D039FB" w:rsidP="00D039FB">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devidos pela parte ré, que fixo em 12% do valor da condenação. A majoração não se aplica à autora, vez que não foi condenada na origem ao pagamento de tal verba.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NÃO CONHEÇO do recurso da parte autora e NEGO PROVIMENTO ao recurso da parte ré.</w:t>
      </w:r>
    </w:p>
    <w:p w:rsidR="00D14C33" w:rsidRPr="00324889" w:rsidRDefault="00D14C33" w:rsidP="00D039FB">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2FD6" w:rsidRDefault="00122FD6">
      <w:pPr>
        <w:spacing w:after="0" w:line="240" w:lineRule="auto"/>
      </w:pPr>
      <w:r>
        <w:separator/>
      </w:r>
    </w:p>
  </w:endnote>
  <w:endnote w:type="continuationSeparator" w:id="0">
    <w:p w:rsidR="00122FD6" w:rsidRDefault="0012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122FD6">
      <w:t xml:space="preserve">s - </w:t>
    </w:r>
    <w:r w:rsidR="00122FD6">
      <w:fldChar w:fldCharType="begin"/>
    </w:r>
    <w:r w:rsidR="00122FD6">
      <w:instrText>PAGE   \* MERGEFORMAT</w:instrText>
    </w:r>
    <w:r w:rsidR="00122FD6">
      <w:fldChar w:fldCharType="separate"/>
    </w:r>
    <w:r w:rsidR="00122FD6">
      <w:t>2</w:t>
    </w:r>
    <w:r w:rsidR="00122FD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2FD6" w:rsidRDefault="00122FD6">
      <w:pPr>
        <w:spacing w:after="0" w:line="240" w:lineRule="auto"/>
      </w:pPr>
      <w:r>
        <w:separator/>
      </w:r>
    </w:p>
  </w:footnote>
  <w:footnote w:type="continuationSeparator" w:id="0">
    <w:p w:rsidR="00122FD6" w:rsidRDefault="0012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122FD6">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122FD6">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122FD6">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122FD6">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38F0"/>
    <w:rsid w:val="000F6337"/>
    <w:rsid w:val="00122FD6"/>
    <w:rsid w:val="00157738"/>
    <w:rsid w:val="00171308"/>
    <w:rsid w:val="00280A6F"/>
    <w:rsid w:val="002A5BBF"/>
    <w:rsid w:val="003D1DDD"/>
    <w:rsid w:val="003F050A"/>
    <w:rsid w:val="00432B56"/>
    <w:rsid w:val="004B0D43"/>
    <w:rsid w:val="00540190"/>
    <w:rsid w:val="0058095D"/>
    <w:rsid w:val="00594C53"/>
    <w:rsid w:val="00612661"/>
    <w:rsid w:val="007B4EF3"/>
    <w:rsid w:val="00827C59"/>
    <w:rsid w:val="009707EB"/>
    <w:rsid w:val="00986E92"/>
    <w:rsid w:val="00993E7A"/>
    <w:rsid w:val="009B41D1"/>
    <w:rsid w:val="009D1903"/>
    <w:rsid w:val="00A12A08"/>
    <w:rsid w:val="00A628E8"/>
    <w:rsid w:val="00AD18B2"/>
    <w:rsid w:val="00B2724A"/>
    <w:rsid w:val="00C25B99"/>
    <w:rsid w:val="00CA0813"/>
    <w:rsid w:val="00CB67A4"/>
    <w:rsid w:val="00CC2914"/>
    <w:rsid w:val="00D039FB"/>
    <w:rsid w:val="00D05CB2"/>
    <w:rsid w:val="00D14C33"/>
    <w:rsid w:val="00D20A33"/>
    <w:rsid w:val="00D778B4"/>
    <w:rsid w:val="00DB1E29"/>
    <w:rsid w:val="00E93BFB"/>
    <w:rsid w:val="00EA0325"/>
    <w:rsid w:val="00EA08CF"/>
    <w:rsid w:val="00EB332C"/>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FDFB564C-597E-4A79-9ED5-9A6C8C26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2155">
      <w:bodyDiv w:val="1"/>
      <w:marLeft w:val="0"/>
      <w:marRight w:val="0"/>
      <w:marTop w:val="0"/>
      <w:marBottom w:val="0"/>
      <w:divBdr>
        <w:top w:val="none" w:sz="0" w:space="0" w:color="auto"/>
        <w:left w:val="none" w:sz="0" w:space="0" w:color="auto"/>
        <w:bottom w:val="none" w:sz="0" w:space="0" w:color="auto"/>
        <w:right w:val="none" w:sz="0" w:space="0" w:color="auto"/>
      </w:divBdr>
    </w:div>
    <w:div w:id="210925038">
      <w:bodyDiv w:val="1"/>
      <w:marLeft w:val="0"/>
      <w:marRight w:val="0"/>
      <w:marTop w:val="0"/>
      <w:marBottom w:val="0"/>
      <w:divBdr>
        <w:top w:val="none" w:sz="0" w:space="0" w:color="auto"/>
        <w:left w:val="none" w:sz="0" w:space="0" w:color="auto"/>
        <w:bottom w:val="none" w:sz="0" w:space="0" w:color="auto"/>
        <w:right w:val="none" w:sz="0" w:space="0" w:color="auto"/>
      </w:divBdr>
    </w:div>
    <w:div w:id="1134058207">
      <w:bodyDiv w:val="1"/>
      <w:marLeft w:val="0"/>
      <w:marRight w:val="0"/>
      <w:marTop w:val="0"/>
      <w:marBottom w:val="0"/>
      <w:divBdr>
        <w:top w:val="none" w:sz="0" w:space="0" w:color="auto"/>
        <w:left w:val="none" w:sz="0" w:space="0" w:color="auto"/>
        <w:bottom w:val="none" w:sz="0" w:space="0" w:color="auto"/>
        <w:right w:val="none" w:sz="0" w:space="0" w:color="auto"/>
      </w:divBdr>
    </w:div>
    <w:div w:id="1235166014">
      <w:bodyDiv w:val="1"/>
      <w:marLeft w:val="0"/>
      <w:marRight w:val="0"/>
      <w:marTop w:val="0"/>
      <w:marBottom w:val="0"/>
      <w:divBdr>
        <w:top w:val="none" w:sz="0" w:space="0" w:color="auto"/>
        <w:left w:val="none" w:sz="0" w:space="0" w:color="auto"/>
        <w:bottom w:val="none" w:sz="0" w:space="0" w:color="auto"/>
        <w:right w:val="none" w:sz="0" w:space="0" w:color="auto"/>
      </w:divBdr>
    </w:div>
    <w:div w:id="1454909824">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876306424">
      <w:bodyDiv w:val="1"/>
      <w:marLeft w:val="0"/>
      <w:marRight w:val="0"/>
      <w:marTop w:val="0"/>
      <w:marBottom w:val="0"/>
      <w:divBdr>
        <w:top w:val="none" w:sz="0" w:space="0" w:color="auto"/>
        <w:left w:val="none" w:sz="0" w:space="0" w:color="auto"/>
        <w:bottom w:val="none" w:sz="0" w:space="0" w:color="auto"/>
        <w:right w:val="none" w:sz="0" w:space="0" w:color="auto"/>
      </w:divBdr>
    </w:div>
    <w:div w:id="1930501875">
      <w:bodyDiv w:val="1"/>
      <w:marLeft w:val="0"/>
      <w:marRight w:val="0"/>
      <w:marTop w:val="0"/>
      <w:marBottom w:val="0"/>
      <w:divBdr>
        <w:top w:val="none" w:sz="0" w:space="0" w:color="auto"/>
        <w:left w:val="none" w:sz="0" w:space="0" w:color="auto"/>
        <w:bottom w:val="none" w:sz="0" w:space="0" w:color="auto"/>
        <w:right w:val="none" w:sz="0" w:space="0" w:color="auto"/>
      </w:divBdr>
    </w:div>
    <w:div w:id="1971477460">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1710</Words>
  <Characters>9238</Characters>
  <Application>Microsoft Office Word</Application>
  <DocSecurity>4</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