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CUBATÃO – 3ª VARA CÍVEL </w:t>
      </w:r>
    </w:p>
    <w:p w:rsidR="00D14C33" w:rsidRPr="006A6130" w:rsidRDefault="00D14C33" w:rsidP="00700458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APELANTES: SBA TORRES BRASIL LIMITADA / TRANSPORTES DELLA VOLPE S/A COMERCIO E INDUSTRIA</w:t>
      </w:r>
    </w:p>
    <w:p w:rsidR="00D14C33" w:rsidRPr="00853E15" w:rsidRDefault="00D14C33" w:rsidP="00700458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TRANSPORTES DELLA VOLPE S/A COMERCIO E INDUSTRIA / SBA TORRES BRASIL LIMITADA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AUTOR(A)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11.493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5E7AD0" w:rsidRPr="00324889" w:rsidRDefault="005E7AD0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1D1C8C" w:rsidRPr="001D1C8C" w:rsidRDefault="001D1C8C" w:rsidP="001D1C8C">
      <w:pPr>
        <w:pStyle w:val="Recuodecorpodetexto"/>
        <w:rPr>
          <w:rFonts w:ascii="Arial" w:hAnsi="Arial" w:cs="Arial"/>
          <w:sz w:val="22"/>
          <w:szCs w:val="22"/>
        </w:rPr>
      </w:pPr>
      <w:r>
        <w:t>APELAÇÃO CÍVEL - AÇÃO RENOVATÓRIA DE LOCAÇÃO NÃO RESIDENCIAL CUMULADA COM PEDIDO DE REVISÃO CONTRATUAL – Renovação contratual deferida – Pretensão da autora de alteração do índice de reajuste (IGP-M para IPCA) – Inadmissibilidade – Manutenção do índice pactuado – Ausência de demonstração de desequilíbrio contratual específico – Princípio da intervenção mínima nas relações privadas – Recurso adesivo da ré – Acolhimento – Aplicação do princípio da causalidade – Autora que deu causa à instauração do processo, vencido no ponto controvertido da lide – Inversão do ônus da sucumbência – Majoração dos honorários recursais – Apelação do autor desprovida e recurso adesivo do réu provido.</w:t>
      </w:r>
    </w:p>
    <w:p w:rsidR="00D14C33" w:rsidRPr="001846F2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7A77E4" w:rsidRPr="007A77E4" w:rsidRDefault="004B25DC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ação de renovação compulsória de contrato de locação não residencial cumulada com pedido de revisão contratual, ajuizada por SBA AUTOR(A). em face de AUTOR(A) S/A Comércio e Indústria, julgada parcialmente procedente pela r. sentença de fls. 166/168, cujo relatório se adota, para condenar a ré à renovação do contrato de locação pelo prazo de cinco anos, fixando aluguel mensal de R$ 16.759,51, com reajuste anual pelo IGP-M/FGV, além de arcar com as despesas processuais e honorários advocatícios fixados em R$ 2.000,00.</w:t>
      </w:r>
    </w:p>
    <w:p w:rsidR="007A77E4" w:rsidRP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Inconformada, recorre a autora (fls. 178/189), buscando a reforma parcial do julgado. Aduz, em síntese, que houve erro ao manter o índice de reajuste pelo IGP-M, devendo ser adotado o IPCA, em razão da onerosidade excessiva causada por sua variação anormal nos anos de 2020 e 2021, circunstância que rompeu o equilíbrio contratual. Pugna pela reforma da sentença para substituir o índice de correção do aluguel para o IPCA durante todo o período renovado.</w:t>
      </w:r>
    </w:p>
    <w:p w:rsidR="007A77E4" w:rsidRP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Apela também a ré, por recurso adesivo (fls. 216/221), insurgindo-se contra a condenação aos ônus sucumbenciais, sustentando que nunca se opôs à renovação do contrato, sendo a ação promovida exclusivamente em razão da pretensão revisional da autora, aplicando-se, portanto, o princípio da causalidade para imputar à autora o pagamento das despesas processuais e honorários advocatícios.</w:t>
      </w:r>
    </w:p>
    <w:p w:rsidR="007A77E4" w:rsidRP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Recursos tempestivos, preparados (fls. 190/191 e 223/225) e regularmente processados, com contrarrazões apresentadas (fls. 206/215). Recebidos, neste momento, em seus efeitos legais, nos termos do artigo 1.012 do Código de AUTOR(A).</w:t>
      </w:r>
    </w:p>
    <w:p w:rsidR="007A77E4" w:rsidRP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nas razões de apelação, pelo meu voto, nego provimento ao recurso da autora e dou provimento ao recurso adesivo do réu.</w:t>
      </w:r>
    </w:p>
    <w:p w:rsidR="007A77E4" w:rsidRP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a autora em sua inicial que firmou com a ré contrato de locação não residencial pelo prazo de dez anos, com início em 30 de setembro de 2012 e valor inicial de R$ 7.572,47, sendo que, diante da proximidade do vencimento contratual, pleiteia a renovação compulsória, afirmando que o imóvel é essencial para o exercício de suas atividades empresariais ligadas à infraestrutura de telecomunicações, e que preenche todos os requisitos legais para a renovação, cumulando ainda pedido de alteração do índice de reajuste do aluguel para o IPCA, em substituição ao IGP-M.</w:t>
      </w:r>
    </w:p>
    <w:p w:rsidR="007A77E4" w:rsidRP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a ré reconheceu expressamente a possibilidade de renovação do contrato, insurgindo-se apenas contra o pedido de alteração do índice de reajuste, defendendo a manutenção do IGP-M, conforme pactuado originalmente, por ausência de desequilíbrio contratual ou onerosidade excessiva que justificasse a modificação pretendida.</w:t>
      </w:r>
    </w:p>
    <w:p w:rsidR="007A77E4" w:rsidRDefault="007A77E4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guerreada, que julgou parcialmente procedente a demanda para determinar a renovação do contrato de locação pelo prazo de cinco anos, fixar o aluguel mensal em R$ 16.759,51, reajustado anualmente pelo índice IGP-M/FGV, e condenar a ré ao pagamento das despesas processuais e honorários advocatícios no valor de R$ 2.000,00.</w:t>
      </w:r>
    </w:p>
    <w:p w:rsidR="00A628E8" w:rsidRDefault="00A628E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No caso em análise, a matéria devolvida em sede recursal restringe-se à fixação do índice de reajuste do aluguel renovado e à distribuição dos ônus da sucumbência. A controvérsia principal, objeto da apelação da autora, consiste na pretensão de substituição do índice de correção monetária pactuado no contrato anterior (IGP-M/FGV) pelo IPCA/IBGE, sob a alegação de onerosidade excessiva e desequilíbrio contratual superveniente decorrente da variação anormal do IGP-M nos anos de 2020 e 2021. </w:t>
      </w:r>
    </w:p>
    <w:p w:rsidR="007A77E4" w:rsidRPr="007A77E4" w:rsidRDefault="007A77E4" w:rsidP="007A77E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Por sua vez, a apelação adesiva da ré limita-se à insurgência contra a sua condenação nos ônus da sucumbência, defendendo a aplicação do princípio da causalidade, diante da inexistência de resistência ao pedido de renovação contratual. Assim, os recursos devolvem à instância ad quem apenas a análise sobre o índice de reajuste aplicável à locação renovada e a responsabilidade pelas despesas processuais e honorários advocatícios.</w:t>
      </w:r>
    </w:p>
    <w:p w:rsidR="0057622F" w:rsidRPr="0057622F" w:rsidRDefault="0057622F" w:rsidP="0057622F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ação em exame tem natureza de renovação compulsória de locação não residencial, fundada nos requisitos previstos no artigo 51 da Lei nº 8.245/91. Embora a autora tenha cumulado pedido de alteração do índice de reajuste do aluguel, o objeto principal da demanda permaneceu sendo a continuidade da relação locatícia, não se tratando de ação revisional típica.</w:t>
      </w:r>
    </w:p>
    <w:p w:rsidR="0057622F" w:rsidRPr="0057622F" w:rsidRDefault="0057622F" w:rsidP="0057622F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O pedido de modificação do índice de correção monetária, de IGP-M para IPCA, exige demonstração concreta de onerosidade excessiva ou desequilíbrio econômico-financeiro específico, o que não se verifica nos autos. A autora fundamentou seu pleito em dados genéricos sobre a alta do IGP-M nos anos de 2020 e 2021, decorrente da pandemia, mas não trouxe provas suficientes de que a aplicação do índice pactuado tenha ocasionado, no caso concreto, desequilíbrio relevante ou enriquecimento sem causa por parte da locadora.</w:t>
      </w:r>
    </w:p>
    <w:p w:rsidR="0057622F" w:rsidRPr="0057622F" w:rsidRDefault="003B2597" w:rsidP="0057622F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finalidade em demandas renovatórias é assegurar a continuidade das condições essenciais do contrato, resguardando o fundo de comércio do locatário e a função social da empresa, não se destinando, salvo situação excepcionalíssima devidamente comprovada, à revisão de cláusulas previamente estipuladas entre as partes. Ademais, o princípio do pacta sunt servanda, reforçado pelos artigos 421 e 421-A do Código Civil, impõe o respeito às condições contratuais livremente avençadas, entre elas o índice de reajuste, que integra a equação econômico-financeira original da avença.</w:t>
      </w:r>
    </w:p>
    <w:p w:rsidR="002335EA" w:rsidRDefault="007463C7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Em tal contexto, a manutenção do IGP-M como índice de correção mostra-se adequada, tanto mais quando não se demonstrou a quebra do equilíbrio econômico-financeiro do contrato de locação específico. Ainda que a ré não tenha resistido à renovação do contrato, opôs-se expressamente à alteração do índice de reajuste, o que revela a existência de controvérsia sobre cláusula essencial da relação jurídica renovada. Importa destacar que não há nos autos qualquer comprovação de nulidade ou de abusividade na cláusula que estipulou o IGP-M como índice de reajuste, livremente pactuada entre as partes. </w:t>
      </w:r>
    </w:p>
    <w:p w:rsidR="007463C7" w:rsidRDefault="007463C7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Ademais, a alegação de desequilíbrio econômico, se existente, deveria ser submetida à apreciação judicial pela via própria da ação revisional de contrato, e não incidentalmente em sede de ação renovatória, cuja finalidade é apenas assegurar a continuidade da locação nas bases contratuais anteriores (não produzindo efeitos retroativos), ressalvadas hipóteses excepcionais devidamente comprovadas. Intervir para alterar cláusula válida e eficaz sem demonstração inequívoca de sua ilicitude afrontaria o princípio da intervenção mínima nas relações privadas, previsto no artigo 421, parágrafo único, do Código Civil. </w:t>
      </w:r>
    </w:p>
    <w:p w:rsidR="003B2597" w:rsidRDefault="003B2597" w:rsidP="003B259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Nesse sentido, tenho que a sentença bem decidiu ao rejeitar o pedido de alteração do índice de reajuste, inexistindo nulidade ou abusividade na cláusula pactuada, tampouco violação ao equilíbrio contratual. </w:t>
      </w:r>
    </w:p>
    <w:p w:rsidR="00840850" w:rsidRDefault="00840850" w:rsidP="0084085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Lado outro, no que tange ao recurso adesivo interposto pela ré, assiste-lhe razão. Embora a renovação do contrato de locação não tenha sido objeto de resistência, houve insurgência apenas quanto à tentativa da autora de alterar o índice de reajuste do aluguel, pedido que foi julgado improcedente.</w:t>
      </w:r>
    </w:p>
    <w:p w:rsidR="007D5F68" w:rsidRDefault="007D5F68" w:rsidP="0084085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Assim, o litígio instaurado restringiu-se exclusivamente à tentativa de alteração do índice de correção monetária, questão na qual a autora foi vencida. Conforme o princípio da causalidade, incumbe à parte que deu causa à instauração do processo suportar as despesas processuais e os honorários advocatícios. </w:t>
      </w:r>
    </w:p>
    <w:p w:rsidR="007D5F68" w:rsidRDefault="007D5F68" w:rsidP="0084085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caso dos autos, a propositura da ação renovatória mostrou-se desnecessária em relação ao pedido de renovação do contrato, haja vista que a ré jamais se opôs à continuidade da locação. A controvérsia limitou-se apenas à tentativa de substituição do índice de reajuste, matéria efetivamente resistida pela ré e decidida em seu favor.</w:t>
      </w:r>
    </w:p>
    <w:p w:rsidR="00840850" w:rsidRDefault="00840850" w:rsidP="0084085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Assim, a autora, que postulou a alteração de cláusula contratual e não logrou êxito, é a responsável pela movimentação do aparato jurisdicional, devendo arcar integralmente com os ônus da sucumbência.</w:t>
      </w:r>
    </w:p>
    <w:p w:rsidR="00840850" w:rsidRDefault="00840850" w:rsidP="0084085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Assim já decidiu esta C. Câmara: </w:t>
      </w:r>
    </w:p>
    <w:p w:rsidR="00840850" w:rsidRDefault="00840850" w:rsidP="00840850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“Locação de imóvel comercial – Ação renovatória – Ausência de resistência da ré à renovação do contrato de locação, tanto no âmbito extrajudicial como no judicial, a refletir, por força do princípio da causalidade, na obrigação do autor ao pagamento das verbas de sucumbência, a que fica condenado – Sentença reformada em parte – Recurso provido em parte.  (TJSP; Apelação Cível 0000000-00.0000.0.00.0000; Relator (a): AUTOR(A); Órgão Julgador: 29ª Câmara de AUTOR(A); Foro de Bauru - [VARA]; Data do Julgamento: 28/10/2021; Data de Registro: 28/10/2021)</w:t>
      </w:r>
    </w:p>
    <w:p w:rsidR="00840850" w:rsidRDefault="00840850" w:rsidP="003B259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Assim, a sentença merece parcial reforma apenas para redistribuir os ônus da sucumbência, condenando a autora ao pagamento das despesas processuais e dos honorários advocatícios fixados em favor da ré, no valor de R$ 2.000,00.</w:t>
      </w:r>
    </w:p>
    <w:p w:rsidR="003B2597" w:rsidRDefault="008706EE" w:rsidP="003B259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E, diante do resultado do recurso interposto pela autora, de rigor a majoração dos honorários advocatícios em sede recursal devidos pela parte autora em favor da ré, que fixo em R$ 2.300,00. Sem majoração para a parte ré, ante o provimento de seu apelo.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NEGO provimento ao recurso da autora e DOU provimento ao recurso adesivo do réu.</w:t>
      </w:r>
    </w:p>
    <w:p w:rsidR="00D14C33" w:rsidRPr="00324889" w:rsidRDefault="00D14C33" w:rsidP="00155AB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7EF9" w:rsidRDefault="00907EF9">
      <w:pPr>
        <w:spacing w:after="0" w:line="240" w:lineRule="auto"/>
      </w:pPr>
      <w:r>
        <w:separator/>
      </w:r>
    </w:p>
  </w:endnote>
  <w:endnote w:type="continuationSeparator" w:id="0">
    <w:p w:rsidR="00907EF9" w:rsidRDefault="0090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907EF9">
      <w:t xml:space="preserve">s - </w:t>
    </w:r>
    <w:r w:rsidR="00907EF9">
      <w:fldChar w:fldCharType="begin"/>
    </w:r>
    <w:r w:rsidR="00907EF9">
      <w:instrText>PAGE   \* MERGEFORMAT</w:instrText>
    </w:r>
    <w:r w:rsidR="00907EF9">
      <w:fldChar w:fldCharType="separate"/>
    </w:r>
    <w:r w:rsidR="00907EF9">
      <w:t>2</w:t>
    </w:r>
    <w:r w:rsidR="00907EF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7EF9" w:rsidRDefault="00907EF9">
      <w:pPr>
        <w:spacing w:after="0" w:line="240" w:lineRule="auto"/>
      </w:pPr>
      <w:r>
        <w:separator/>
      </w:r>
    </w:p>
  </w:footnote>
  <w:footnote w:type="continuationSeparator" w:id="0">
    <w:p w:rsidR="00907EF9" w:rsidRDefault="00907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907EF9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907EF9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907EF9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907EF9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B778C"/>
    <w:rsid w:val="000C6C16"/>
    <w:rsid w:val="000F6337"/>
    <w:rsid w:val="00155AB7"/>
    <w:rsid w:val="00157738"/>
    <w:rsid w:val="00171308"/>
    <w:rsid w:val="001D1C8C"/>
    <w:rsid w:val="002335EA"/>
    <w:rsid w:val="002C5D8A"/>
    <w:rsid w:val="003B2597"/>
    <w:rsid w:val="003F050A"/>
    <w:rsid w:val="00401EB9"/>
    <w:rsid w:val="00432B56"/>
    <w:rsid w:val="004B25DC"/>
    <w:rsid w:val="004B5097"/>
    <w:rsid w:val="00540190"/>
    <w:rsid w:val="0057622F"/>
    <w:rsid w:val="005B240D"/>
    <w:rsid w:val="005E7AD0"/>
    <w:rsid w:val="00700458"/>
    <w:rsid w:val="007463C7"/>
    <w:rsid w:val="007A77E4"/>
    <w:rsid w:val="007B4EF3"/>
    <w:rsid w:val="007D5F68"/>
    <w:rsid w:val="00806E21"/>
    <w:rsid w:val="00840850"/>
    <w:rsid w:val="00864727"/>
    <w:rsid w:val="008706EE"/>
    <w:rsid w:val="00907EF9"/>
    <w:rsid w:val="009707EB"/>
    <w:rsid w:val="00986E92"/>
    <w:rsid w:val="00992D97"/>
    <w:rsid w:val="00993E7A"/>
    <w:rsid w:val="009B41D1"/>
    <w:rsid w:val="00A628E8"/>
    <w:rsid w:val="00B2724A"/>
    <w:rsid w:val="00B7284D"/>
    <w:rsid w:val="00CA0813"/>
    <w:rsid w:val="00D01C72"/>
    <w:rsid w:val="00D14C33"/>
    <w:rsid w:val="00D778B4"/>
    <w:rsid w:val="00E93BFB"/>
    <w:rsid w:val="00EA0325"/>
    <w:rsid w:val="00EA08CF"/>
    <w:rsid w:val="00EC296C"/>
    <w:rsid w:val="00ED4D83"/>
    <w:rsid w:val="00EE2419"/>
    <w:rsid w:val="00FB2530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654A4DE-7772-4F7B-9A2F-92D98F88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1668</Words>
  <Characters>9009</Characters>
  <Application>Microsoft Office Word</Application>
  <DocSecurity>4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2025-06-11T23:25:00Z</dcterms:created>
  <dcterms:modified xsi:type="dcterms:W3CDTF">2025-06-11T23:25:00Z</dcterms:modified>
</cp:coreProperties>
</file>